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FF3" w:rsidRPr="007303C7" w:rsidRDefault="00E42FF3">
      <w:pPr>
        <w:rPr>
          <w:rFonts w:ascii="Arial Narrow" w:hAnsi="Arial Narrow"/>
        </w:rPr>
      </w:pPr>
    </w:p>
    <w:p w:rsidR="00E42FF3" w:rsidRPr="007303C7" w:rsidRDefault="00E42FF3" w:rsidP="00E42FF3">
      <w:pPr>
        <w:rPr>
          <w:rFonts w:ascii="Arial Narrow" w:hAnsi="Arial Narrow"/>
        </w:rPr>
      </w:pPr>
    </w:p>
    <w:p w:rsidR="00E42FF3" w:rsidRPr="007303C7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24335F" w:rsidRPr="007303C7" w:rsidRDefault="0024335F" w:rsidP="0024335F">
      <w:pPr>
        <w:pStyle w:val="Notedebasdepage"/>
        <w:rPr>
          <w:rFonts w:ascii="Arial Narrow" w:hAnsi="Arial Narrow"/>
        </w:rPr>
      </w:pPr>
    </w:p>
    <w:p w:rsidR="0024335F" w:rsidRPr="007303C7" w:rsidRDefault="0024335F" w:rsidP="0024335F">
      <w:pPr>
        <w:pStyle w:val="Notedebasdepage"/>
        <w:rPr>
          <w:rFonts w:ascii="Arial Narrow" w:hAnsi="Arial Narrow"/>
        </w:rPr>
      </w:pPr>
    </w:p>
    <w:p w:rsidR="00E42FF3" w:rsidRPr="007303C7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E42FF3" w:rsidRPr="007303C7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:rsidR="00E42FF3" w:rsidRPr="007303C7" w:rsidRDefault="00424506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7303C7">
        <w:rPr>
          <w:rFonts w:ascii="Arial Narrow" w:hAnsi="Arial Narrow"/>
          <w:color w:val="2F5496" w:themeColor="accent5" w:themeShade="BF"/>
          <w:sz w:val="48"/>
          <w:szCs w:val="48"/>
        </w:rPr>
        <w:t>MARCHE SUBSEQUENT</w:t>
      </w:r>
    </w:p>
    <w:p w:rsidR="00424506" w:rsidRPr="007303C7" w:rsidRDefault="00424506" w:rsidP="00424506">
      <w:pPr>
        <w:pStyle w:val="Notedebasdepage"/>
        <w:rPr>
          <w:rFonts w:ascii="Arial Narrow" w:hAnsi="Arial Narrow"/>
        </w:rPr>
      </w:pPr>
    </w:p>
    <w:p w:rsidR="00424506" w:rsidRPr="007303C7" w:rsidRDefault="00424506" w:rsidP="00424506">
      <w:pPr>
        <w:pStyle w:val="Notedebasdepage"/>
        <w:jc w:val="center"/>
        <w:rPr>
          <w:rFonts w:ascii="Arial Narrow" w:hAnsi="Arial Narrow"/>
          <w:color w:val="2F5496" w:themeColor="accent5" w:themeShade="BF"/>
          <w:sz w:val="36"/>
          <w:szCs w:val="36"/>
        </w:rPr>
      </w:pPr>
    </w:p>
    <w:p w:rsidR="00424506" w:rsidRPr="007303C7" w:rsidRDefault="00424506" w:rsidP="00424506">
      <w:pPr>
        <w:pStyle w:val="Notedebasdepage"/>
        <w:jc w:val="center"/>
        <w:rPr>
          <w:rFonts w:ascii="Arial Narrow" w:hAnsi="Arial Narrow"/>
          <w:color w:val="2F5496" w:themeColor="accent5" w:themeShade="BF"/>
          <w:sz w:val="36"/>
          <w:szCs w:val="36"/>
        </w:rPr>
      </w:pPr>
    </w:p>
    <w:p w:rsidR="00424506" w:rsidRPr="007303C7" w:rsidRDefault="00424506" w:rsidP="00424506">
      <w:pPr>
        <w:pStyle w:val="Notedebasdepage"/>
        <w:jc w:val="center"/>
        <w:rPr>
          <w:rFonts w:ascii="Arial Narrow" w:hAnsi="Arial Narrow"/>
          <w:color w:val="2F5496" w:themeColor="accent5" w:themeShade="BF"/>
          <w:sz w:val="36"/>
          <w:szCs w:val="36"/>
        </w:rPr>
      </w:pPr>
      <w:r w:rsidRPr="007303C7">
        <w:rPr>
          <w:rFonts w:ascii="Arial Narrow" w:hAnsi="Arial Narrow"/>
          <w:color w:val="2F5496" w:themeColor="accent5" w:themeShade="BF"/>
          <w:sz w:val="36"/>
          <w:szCs w:val="36"/>
        </w:rPr>
        <w:t xml:space="preserve">Passé sur le fondement de l’accord-cadre relatif </w:t>
      </w:r>
      <w:r w:rsidR="00B92F1A">
        <w:rPr>
          <w:rFonts w:ascii="Arial Narrow" w:hAnsi="Arial Narrow"/>
          <w:color w:val="2F5496" w:themeColor="accent5" w:themeShade="BF"/>
          <w:sz w:val="36"/>
          <w:szCs w:val="36"/>
        </w:rPr>
        <w:t xml:space="preserve">à la </w:t>
      </w:r>
      <w:r w:rsidR="00F2124D">
        <w:rPr>
          <w:rFonts w:ascii="Arial Narrow" w:hAnsi="Arial Narrow"/>
          <w:color w:val="2F5496" w:themeColor="accent5" w:themeShade="BF"/>
          <w:sz w:val="36"/>
          <w:szCs w:val="36"/>
        </w:rPr>
        <w:t>fabrication</w:t>
      </w:r>
      <w:bookmarkStart w:id="0" w:name="_GoBack"/>
      <w:bookmarkEnd w:id="0"/>
      <w:r w:rsidR="00B92F1A" w:rsidRPr="00B92F1A">
        <w:rPr>
          <w:rFonts w:ascii="Arial Narrow" w:hAnsi="Arial Narrow"/>
          <w:color w:val="2F5496" w:themeColor="accent5" w:themeShade="BF"/>
          <w:sz w:val="36"/>
          <w:szCs w:val="36"/>
        </w:rPr>
        <w:t xml:space="preserve"> de dispositifs de médiation pour l’Etablissement public du Musée d’Orsay et du Musée de l’Orangerie</w:t>
      </w:r>
    </w:p>
    <w:p w:rsidR="00424506" w:rsidRPr="007303C7" w:rsidRDefault="00424506" w:rsidP="00424506">
      <w:pPr>
        <w:pStyle w:val="Notedebasdepage"/>
        <w:rPr>
          <w:rFonts w:ascii="Arial Narrow" w:hAnsi="Arial Narrow"/>
        </w:rPr>
      </w:pPr>
    </w:p>
    <w:p w:rsidR="00424506" w:rsidRPr="007303C7" w:rsidRDefault="00424506" w:rsidP="00424506">
      <w:pPr>
        <w:pStyle w:val="Notedebasdepage"/>
        <w:rPr>
          <w:rFonts w:ascii="Arial Narrow" w:hAnsi="Arial Narrow"/>
        </w:rPr>
      </w:pPr>
    </w:p>
    <w:p w:rsidR="00424506" w:rsidRPr="007303C7" w:rsidRDefault="00424506" w:rsidP="00E42FF3">
      <w:pPr>
        <w:jc w:val="center"/>
        <w:rPr>
          <w:rFonts w:ascii="Arial Narrow" w:hAnsi="Arial Narrow"/>
          <w:sz w:val="28"/>
          <w:szCs w:val="28"/>
        </w:rPr>
      </w:pPr>
    </w:p>
    <w:p w:rsidR="00E42FF3" w:rsidRPr="007303C7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:rsidR="00E42FF3" w:rsidRPr="007303C7" w:rsidRDefault="00E42FF3" w:rsidP="00E42FF3">
      <w:pPr>
        <w:jc w:val="center"/>
        <w:rPr>
          <w:rFonts w:ascii="Arial Narrow" w:hAnsi="Arial Narrow"/>
          <w:sz w:val="28"/>
          <w:szCs w:val="28"/>
        </w:rPr>
      </w:pPr>
      <w:r w:rsidRPr="007303C7">
        <w:rPr>
          <w:rFonts w:ascii="Arial Narrow" w:hAnsi="Arial Narrow"/>
          <w:sz w:val="28"/>
          <w:szCs w:val="28"/>
        </w:rPr>
        <w:t>Marché de</w:t>
      </w:r>
      <w:r w:rsidR="00B92F1A">
        <w:rPr>
          <w:rFonts w:ascii="Arial Narrow" w:hAnsi="Arial Narrow"/>
          <w:sz w:val="28"/>
          <w:szCs w:val="28"/>
        </w:rPr>
        <w:t xml:space="preserve"> [</w:t>
      </w:r>
      <w:r w:rsidR="00B92F1A" w:rsidRPr="00B92F1A">
        <w:rPr>
          <w:rFonts w:ascii="Arial Narrow" w:hAnsi="Arial Narrow"/>
          <w:sz w:val="28"/>
          <w:szCs w:val="28"/>
          <w:highlight w:val="yellow"/>
        </w:rPr>
        <w:t>nom du marché subséquent</w:t>
      </w:r>
      <w:r w:rsidR="00B92F1A">
        <w:rPr>
          <w:rFonts w:ascii="Arial Narrow" w:hAnsi="Arial Narrow"/>
          <w:sz w:val="28"/>
          <w:szCs w:val="28"/>
        </w:rPr>
        <w:t>]</w:t>
      </w:r>
    </w:p>
    <w:p w:rsidR="00A02B17" w:rsidRPr="007303C7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:rsidR="00A02B17" w:rsidRPr="007303C7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:rsidR="00A02B17" w:rsidRPr="007303C7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:rsidR="00C74EFE" w:rsidRPr="007303C7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7303C7" w:rsidTr="0024335F">
        <w:tc>
          <w:tcPr>
            <w:tcW w:w="9062" w:type="dxa"/>
            <w:shd w:val="clear" w:color="auto" w:fill="DEEAF6" w:themeFill="accent1" w:themeFillTint="33"/>
          </w:tcPr>
          <w:p w:rsidR="00E42FF3" w:rsidRPr="007303C7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:rsidR="00424506" w:rsidRPr="007303C7" w:rsidRDefault="00424506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7303C7">
              <w:rPr>
                <w:rFonts w:ascii="Arial Narrow" w:hAnsi="Arial Narrow"/>
                <w:sz w:val="22"/>
                <w:szCs w:val="22"/>
              </w:rPr>
              <w:t xml:space="preserve">Numéro du </w:t>
            </w:r>
            <w:r w:rsidR="00C74EFE" w:rsidRPr="007303C7">
              <w:rPr>
                <w:rFonts w:ascii="Arial Narrow" w:hAnsi="Arial Narrow"/>
                <w:sz w:val="22"/>
                <w:szCs w:val="22"/>
              </w:rPr>
              <w:t>marché </w:t>
            </w:r>
            <w:r w:rsidRPr="007303C7">
              <w:rPr>
                <w:rFonts w:ascii="Arial Narrow" w:hAnsi="Arial Narrow"/>
                <w:sz w:val="22"/>
                <w:szCs w:val="22"/>
              </w:rPr>
              <w:t xml:space="preserve">subséquent </w:t>
            </w:r>
            <w:r w:rsidR="00C74EFE" w:rsidRPr="007303C7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B92F1A" w:rsidRPr="00B92F1A">
              <w:rPr>
                <w:rFonts w:ascii="Arial Narrow" w:hAnsi="Arial Narrow"/>
                <w:sz w:val="22"/>
                <w:szCs w:val="22"/>
                <w:highlight w:val="yellow"/>
              </w:rPr>
              <w:t>XXX</w:t>
            </w:r>
          </w:p>
          <w:p w:rsidR="00424506" w:rsidRPr="007303C7" w:rsidRDefault="00424506" w:rsidP="00424506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7303C7">
              <w:rPr>
                <w:rFonts w:ascii="Arial Narrow" w:hAnsi="Arial Narrow"/>
                <w:sz w:val="22"/>
                <w:szCs w:val="22"/>
              </w:rPr>
              <w:t xml:space="preserve">Numéro de l’accord-cadre : </w:t>
            </w:r>
            <w:r w:rsidR="000B151A">
              <w:rPr>
                <w:rFonts w:ascii="Arial Narrow" w:hAnsi="Arial Narrow"/>
                <w:sz w:val="22"/>
                <w:szCs w:val="22"/>
              </w:rPr>
              <w:t>2025-734 à 736</w:t>
            </w:r>
          </w:p>
          <w:p w:rsidR="00E42FF3" w:rsidRPr="007303C7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7303C7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:showingPlcHdr/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Pr="007303C7">
                  <w:rPr>
                    <w:rStyle w:val="Textedelespacerserv"/>
                    <w:rFonts w:ascii="Arial Narrow" w:hAnsi="Arial Narrow"/>
                    <w:sz w:val="22"/>
                    <w:szCs w:val="22"/>
                  </w:rPr>
                  <w:t>Choisissez un élément.</w:t>
                </w:r>
              </w:sdtContent>
            </w:sdt>
          </w:p>
          <w:p w:rsidR="00E42FF3" w:rsidRPr="007303C7" w:rsidRDefault="00E42FF3" w:rsidP="00E42FF3">
            <w:pPr>
              <w:spacing w:after="120"/>
              <w:rPr>
                <w:rFonts w:ascii="Arial Narrow" w:hAnsi="Arial Narrow"/>
              </w:rPr>
            </w:pPr>
            <w:r w:rsidRPr="007303C7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236471944"/>
                <w:placeholder>
                  <w:docPart w:val="DBA709B797704C3F92D24CF6AEA5B724"/>
                </w:placeholder>
                <w15:color w:val="00FF00"/>
                <w:dropDownList>
                  <w:listItem w:value="Sans objet."/>
                  <w:listItem w:displayText="Accord-cadre mono attributaire exécuté par émission de bons de commande" w:value="Accord-cadre mono attributaire exécuté par émission de bons de commande"/>
                  <w:listItem w:displayText="Accord-cadre multi attributaire exécuté par marchés subséquents" w:value="Accord-cadre multi attributaire exécuté par marchés subséquents"/>
                  <w:listItem w:displayText="Accord-cadre mono attributaire exécuté par émission de bons de commande et marchés subséquents" w:value="Accord-cadre mono attributaire exécuté par émission de bons de commande et marchés subséquents"/>
                </w:dropDownList>
              </w:sdtPr>
              <w:sdtEndPr/>
              <w:sdtContent>
                <w:r w:rsidR="00B92F1A">
                  <w:rPr>
                    <w:rFonts w:ascii="Arial Narrow" w:hAnsi="Arial Narrow"/>
                  </w:rPr>
                  <w:t>Accord-cadre multi attributaire exécuté par marchés subséquents</w:t>
                </w:r>
              </w:sdtContent>
            </w:sdt>
          </w:p>
          <w:p w:rsidR="00E42FF3" w:rsidRPr="007303C7" w:rsidRDefault="00E42FF3" w:rsidP="00EC6141">
            <w:pPr>
              <w:rPr>
                <w:rFonts w:ascii="Arial Narrow" w:hAnsi="Arial Narrow"/>
              </w:rPr>
            </w:pPr>
          </w:p>
        </w:tc>
      </w:tr>
    </w:tbl>
    <w:p w:rsidR="00424506" w:rsidRDefault="00424506" w:rsidP="00424506">
      <w:pPr>
        <w:pStyle w:val="En-tte"/>
        <w:tabs>
          <w:tab w:val="clear" w:pos="4536"/>
          <w:tab w:val="clear" w:pos="9072"/>
        </w:tabs>
        <w:spacing w:after="360" w:line="259" w:lineRule="auto"/>
        <w:rPr>
          <w:rFonts w:ascii="Arial Narrow" w:hAnsi="Arial Narrow"/>
          <w:b/>
        </w:rPr>
      </w:pPr>
    </w:p>
    <w:p w:rsidR="00424506" w:rsidRPr="007303C7" w:rsidRDefault="00424506" w:rsidP="00424506">
      <w:pPr>
        <w:pStyle w:val="En-tte"/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lastRenderedPageBreak/>
        <w:t>PREAMBULE</w:t>
      </w:r>
    </w:p>
    <w:p w:rsidR="00424506" w:rsidRPr="007303C7" w:rsidRDefault="00424506" w:rsidP="00424506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Le présent marché subséquent est conclu dans les co</w:t>
      </w:r>
      <w:r w:rsidR="00B92F1A">
        <w:rPr>
          <w:rFonts w:ascii="Arial Narrow" w:hAnsi="Arial Narrow"/>
        </w:rPr>
        <w:t>nditions prévues par l’article 4.2</w:t>
      </w:r>
      <w:r w:rsidRPr="007303C7">
        <w:rPr>
          <w:rFonts w:ascii="Arial Narrow" w:hAnsi="Arial Narrow"/>
        </w:rPr>
        <w:t xml:space="preserve"> du CCAP de l’accord-cadre et en application des articles </w:t>
      </w:r>
    </w:p>
    <w:p w:rsidR="00424506" w:rsidRPr="00B92F1A" w:rsidRDefault="00424506" w:rsidP="002330AB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B92F1A">
        <w:rPr>
          <w:rFonts w:ascii="Arial Narrow" w:hAnsi="Arial Narrow"/>
        </w:rPr>
        <w:t>R. 2162-7 et R. 2162-10 du code de la commande publique (</w:t>
      </w:r>
      <w:r w:rsidRPr="00B92F1A">
        <w:rPr>
          <w:rFonts w:ascii="Arial Narrow" w:hAnsi="Arial Narrow"/>
          <w:highlight w:val="yellow"/>
        </w:rPr>
        <w:t>si accord-cadre multi-attributaire</w:t>
      </w:r>
      <w:r w:rsidRPr="00B92F1A">
        <w:rPr>
          <w:rFonts w:ascii="Arial Narrow" w:hAnsi="Arial Narrow"/>
        </w:rPr>
        <w:t>)</w:t>
      </w:r>
    </w:p>
    <w:p w:rsidR="00424506" w:rsidRPr="007303C7" w:rsidRDefault="00424506" w:rsidP="00277716">
      <w:pPr>
        <w:pStyle w:val="En-tte"/>
        <w:numPr>
          <w:ilvl w:val="0"/>
          <w:numId w:val="39"/>
        </w:numPr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R. 2162-7, R. 2162-8 et R. 2162-10 du code de la commande publique (</w:t>
      </w:r>
      <w:r w:rsidRPr="00B92F1A">
        <w:rPr>
          <w:rFonts w:ascii="Arial Narrow" w:hAnsi="Arial Narrow"/>
          <w:highlight w:val="yellow"/>
        </w:rPr>
        <w:t>si accord-cadre multi-attributaire et lorsque le marché subséquent prend la forme d’un accord-cadre à bons de commande</w:t>
      </w:r>
      <w:r w:rsidRPr="007303C7">
        <w:rPr>
          <w:rFonts w:ascii="Arial Narrow" w:hAnsi="Arial Narrow"/>
        </w:rPr>
        <w:t>)</w:t>
      </w:r>
    </w:p>
    <w:p w:rsidR="00424506" w:rsidRPr="007303C7" w:rsidRDefault="00424506" w:rsidP="00424506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:rsidR="00E42FF3" w:rsidRPr="007303C7" w:rsidRDefault="00277716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IDENTIFICATION DES PARTIES</w:t>
      </w:r>
    </w:p>
    <w:p w:rsidR="00277716" w:rsidRPr="007303C7" w:rsidRDefault="00277716" w:rsidP="00277716">
      <w:pPr>
        <w:pStyle w:val="En-tte"/>
        <w:numPr>
          <w:ilvl w:val="1"/>
          <w:numId w:val="42"/>
        </w:numPr>
        <w:tabs>
          <w:tab w:val="clear" w:pos="4536"/>
          <w:tab w:val="clear" w:pos="9072"/>
        </w:tabs>
        <w:spacing w:after="120" w:line="360" w:lineRule="auto"/>
        <w:ind w:left="851" w:hanging="851"/>
        <w:jc w:val="both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Acheteur</w:t>
      </w:r>
    </w:p>
    <w:p w:rsidR="00C74EFE" w:rsidRPr="007303C7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Établissement public du musée d'Orsay et du musée de l’Orangerie</w:t>
      </w:r>
      <w:r w:rsidR="00D26817" w:rsidRPr="007303C7">
        <w:rPr>
          <w:rFonts w:ascii="Arial Narrow" w:hAnsi="Arial Narrow"/>
        </w:rPr>
        <w:t xml:space="preserve"> </w:t>
      </w:r>
      <w:r w:rsidR="00D26817" w:rsidRPr="007303C7">
        <w:rPr>
          <w:rFonts w:ascii="Arial Narrow" w:hAnsi="Arial Narrow"/>
        </w:rPr>
        <w:noBreakHyphen/>
      </w:r>
      <w:r w:rsidRPr="007303C7">
        <w:rPr>
          <w:rFonts w:ascii="Arial Narrow" w:hAnsi="Arial Narrow"/>
        </w:rPr>
        <w:t xml:space="preserve"> Valéry Giscard d’Estaing </w:t>
      </w:r>
    </w:p>
    <w:p w:rsidR="00C74EFE" w:rsidRPr="007303C7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Etablissement public national à caractère administratif </w:t>
      </w:r>
    </w:p>
    <w:p w:rsidR="00C74EFE" w:rsidRPr="007303C7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Créé par décret n° 2003-1300 du 26 décembre 2003 modifié </w:t>
      </w:r>
    </w:p>
    <w:p w:rsidR="00C74EFE" w:rsidRPr="007303C7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R</w:t>
      </w:r>
      <w:r w:rsidR="00C74EFE" w:rsidRPr="007303C7">
        <w:rPr>
          <w:rFonts w:ascii="Arial Narrow" w:hAnsi="Arial Narrow"/>
        </w:rPr>
        <w:t>épertoire SIRENE de l'INSEE</w:t>
      </w:r>
      <w:r w:rsidRPr="007303C7">
        <w:rPr>
          <w:rFonts w:ascii="Arial Narrow" w:hAnsi="Arial Narrow"/>
        </w:rPr>
        <w:t> :</w:t>
      </w:r>
      <w:r w:rsidR="00C74EFE" w:rsidRPr="007303C7">
        <w:rPr>
          <w:rFonts w:ascii="Arial Narrow" w:hAnsi="Arial Narrow"/>
        </w:rPr>
        <w:t xml:space="preserve"> 180 092 447 000 10 </w:t>
      </w:r>
    </w:p>
    <w:p w:rsidR="00C74EFE" w:rsidRPr="007303C7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Code APE : 9103 Z</w:t>
      </w:r>
    </w:p>
    <w:p w:rsidR="00C74EFE" w:rsidRPr="007303C7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TVA Intracommunautaire : FR 601 800 92 447 </w:t>
      </w:r>
    </w:p>
    <w:p w:rsidR="00C74EFE" w:rsidRPr="007303C7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Siège social : Esplanade Valéry Giscard d’Estaing</w:t>
      </w:r>
      <w:r w:rsidR="00D26817" w:rsidRPr="007303C7">
        <w:rPr>
          <w:rFonts w:ascii="Arial Narrow" w:hAnsi="Arial Narrow"/>
        </w:rPr>
        <w:t>, 75343 Paris cedex 07</w:t>
      </w:r>
      <w:r w:rsidRPr="007303C7">
        <w:rPr>
          <w:rFonts w:ascii="Arial Narrow" w:hAnsi="Arial Narrow"/>
        </w:rPr>
        <w:t xml:space="preserve"> </w:t>
      </w:r>
    </w:p>
    <w:p w:rsidR="00C74EFE" w:rsidRPr="007303C7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Représenté par s</w:t>
      </w:r>
      <w:r w:rsidR="00D26817" w:rsidRPr="007303C7">
        <w:rPr>
          <w:rFonts w:ascii="Arial Narrow" w:hAnsi="Arial Narrow"/>
        </w:rPr>
        <w:t>on P</w:t>
      </w:r>
      <w:r w:rsidRPr="007303C7">
        <w:rPr>
          <w:rFonts w:ascii="Arial Narrow" w:hAnsi="Arial Narrow"/>
        </w:rPr>
        <w:t xml:space="preserve">résident </w:t>
      </w:r>
      <w:r w:rsidR="00B92F1A">
        <w:rPr>
          <w:rFonts w:ascii="Arial Narrow" w:hAnsi="Arial Narrow"/>
        </w:rPr>
        <w:t>ou son Représentant</w:t>
      </w:r>
    </w:p>
    <w:p w:rsidR="00C74EFE" w:rsidRPr="007303C7" w:rsidRDefault="00C74EFE" w:rsidP="00C74EFE">
      <w:pPr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Comptable assignataire des paiements : M. Daniel Le </w:t>
      </w:r>
      <w:proofErr w:type="spellStart"/>
      <w:r w:rsidRPr="007303C7">
        <w:rPr>
          <w:rFonts w:ascii="Arial Narrow" w:hAnsi="Arial Narrow"/>
        </w:rPr>
        <w:t>Gac</w:t>
      </w:r>
      <w:proofErr w:type="spellEnd"/>
      <w:r w:rsidRPr="007303C7">
        <w:rPr>
          <w:rFonts w:ascii="Arial Narrow" w:hAnsi="Arial Narrow"/>
        </w:rPr>
        <w:t>, Agent comptable</w:t>
      </w:r>
    </w:p>
    <w:p w:rsidR="00257918" w:rsidRPr="007303C7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:rsidR="00E42FF3" w:rsidRPr="007303C7" w:rsidRDefault="00D26817" w:rsidP="00277716">
      <w:pPr>
        <w:pStyle w:val="En-tte"/>
        <w:numPr>
          <w:ilvl w:val="1"/>
          <w:numId w:val="42"/>
        </w:numPr>
        <w:tabs>
          <w:tab w:val="clear" w:pos="4536"/>
          <w:tab w:val="clear" w:pos="9072"/>
        </w:tabs>
        <w:spacing w:after="120" w:line="360" w:lineRule="auto"/>
        <w:ind w:left="851" w:hanging="851"/>
        <w:jc w:val="both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T</w:t>
      </w:r>
      <w:r w:rsidR="00277716" w:rsidRPr="007303C7">
        <w:rPr>
          <w:rFonts w:ascii="Arial Narrow" w:hAnsi="Arial Narrow"/>
          <w:b/>
        </w:rPr>
        <w:t>itulaire</w:t>
      </w:r>
    </w:p>
    <w:p w:rsidR="00277716" w:rsidRPr="007303C7" w:rsidRDefault="00277716" w:rsidP="00277716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Il est rappelé aux titulaires de l’accord-cadre que les indications ci-dessous doivent correspondre strictement à celles mentionnées dans l’accord-cadre. En particulier, si le titulaire de l’accord-cadre est un groupement, sa composition ou sa forme ainsi que l’identité du mandataire ne peuvent être modifiées dans le cadre de la passation du présent marché subséquent. </w:t>
      </w:r>
    </w:p>
    <w:p w:rsidR="00277716" w:rsidRPr="007303C7" w:rsidRDefault="00A406B2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i/>
          <w:color w:val="ED7D31" w:themeColor="accent2"/>
        </w:rPr>
      </w:pPr>
      <w:r w:rsidRPr="007303C7">
        <w:rPr>
          <w:rFonts w:ascii="Arial Narrow" w:hAnsi="Arial Narrow" w:cs="Calibri Light"/>
          <w:i/>
          <w:color w:val="ED7D31" w:themeColor="accent2"/>
        </w:rPr>
        <w:t xml:space="preserve">Si titulaire unique : </w:t>
      </w:r>
    </w:p>
    <w:p w:rsidR="00D26817" w:rsidRPr="007303C7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7303C7">
        <w:rPr>
          <w:rFonts w:ascii="Arial Narrow" w:hAnsi="Arial Narrow" w:cs="Calibri Light"/>
          <w:b/>
        </w:rPr>
        <w:t>Le Signataire,</w:t>
      </w:r>
    </w:p>
    <w:p w:rsidR="00D26817" w:rsidRPr="007303C7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Nom : </w:t>
      </w:r>
      <w:r w:rsidRPr="007303C7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7303C7">
        <w:rPr>
          <w:rFonts w:ascii="Arial Narrow" w:hAnsi="Arial Narrow" w:cs="Calibri Light"/>
        </w:rPr>
        <w:t>…….</w:t>
      </w:r>
      <w:proofErr w:type="gramEnd"/>
      <w:r w:rsidRPr="007303C7">
        <w:rPr>
          <w:rFonts w:ascii="Arial Narrow" w:hAnsi="Arial Narrow" w:cs="Calibri Light"/>
        </w:rPr>
        <w:t>.</w:t>
      </w:r>
    </w:p>
    <w:p w:rsidR="00D26817" w:rsidRPr="007303C7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Qualité : </w:t>
      </w:r>
    </w:p>
    <w:p w:rsidR="00A406B2" w:rsidRPr="007303C7" w:rsidRDefault="00D26817" w:rsidP="00A406B2">
      <w:pPr>
        <w:tabs>
          <w:tab w:val="left" w:pos="360"/>
          <w:tab w:val="right" w:leader="dot" w:pos="9639"/>
        </w:tabs>
        <w:spacing w:before="60"/>
        <w:ind w:left="15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 w:cs="Calibri Light"/>
        </w:rPr>
        <w:instrText xml:space="preserve"> FORMCHECKBOX </w:instrText>
      </w:r>
      <w:r w:rsidR="00F2124D">
        <w:rPr>
          <w:rFonts w:ascii="Arial Narrow" w:hAnsi="Arial Narrow" w:cs="Calibri Light"/>
        </w:rPr>
      </w:r>
      <w:r w:rsidR="00F2124D">
        <w:rPr>
          <w:rFonts w:ascii="Arial Narrow" w:hAnsi="Arial Narrow" w:cs="Calibri Light"/>
        </w:rPr>
        <w:fldChar w:fldCharType="separate"/>
      </w:r>
      <w:r w:rsidRPr="007303C7">
        <w:rPr>
          <w:rFonts w:ascii="Arial Narrow" w:hAnsi="Arial Narrow" w:cs="Calibri Light"/>
        </w:rPr>
        <w:fldChar w:fldCharType="end"/>
      </w:r>
      <w:r w:rsidRPr="007303C7">
        <w:rPr>
          <w:rFonts w:ascii="Arial Narrow" w:hAnsi="Arial Narrow" w:cs="Calibri Light"/>
        </w:rPr>
        <w:t xml:space="preserve"> Agissant pour mon propre compte               </w:t>
      </w:r>
    </w:p>
    <w:p w:rsidR="00D26817" w:rsidRPr="007303C7" w:rsidRDefault="00D26817" w:rsidP="00A406B2">
      <w:pPr>
        <w:tabs>
          <w:tab w:val="left" w:pos="360"/>
          <w:tab w:val="right" w:leader="dot" w:pos="9639"/>
        </w:tabs>
        <w:spacing w:before="60"/>
        <w:ind w:left="15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 w:cs="Calibri Light"/>
        </w:rPr>
        <w:instrText xml:space="preserve"> FORMCHECKBOX </w:instrText>
      </w:r>
      <w:r w:rsidR="00F2124D">
        <w:rPr>
          <w:rFonts w:ascii="Arial Narrow" w:hAnsi="Arial Narrow" w:cs="Calibri Light"/>
        </w:rPr>
      </w:r>
      <w:r w:rsidR="00F2124D">
        <w:rPr>
          <w:rFonts w:ascii="Arial Narrow" w:hAnsi="Arial Narrow" w:cs="Calibri Light"/>
        </w:rPr>
        <w:fldChar w:fldCharType="separate"/>
      </w:r>
      <w:r w:rsidRPr="007303C7">
        <w:rPr>
          <w:rFonts w:ascii="Arial Narrow" w:hAnsi="Arial Narrow" w:cs="Calibri Light"/>
        </w:rPr>
        <w:fldChar w:fldCharType="end"/>
      </w:r>
      <w:r w:rsidRPr="007303C7">
        <w:rPr>
          <w:rFonts w:ascii="Arial Narrow" w:hAnsi="Arial Narrow" w:cs="Calibri Light"/>
        </w:rPr>
        <w:t xml:space="preserve"> Agissant pour le compte de la société</w:t>
      </w:r>
    </w:p>
    <w:p w:rsidR="00D26817" w:rsidRPr="007303C7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Raison sociale : 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Adresse : 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A406B2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Téléphone :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Courriel :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Forme juridique : 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N° RCS : 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Ville d’enregistrement :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N° SIRET : 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Code APE : 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N° de TVA intra-communautaire :</w:t>
      </w:r>
      <w:r w:rsidRPr="007303C7">
        <w:rPr>
          <w:rFonts w:ascii="Arial Narrow" w:hAnsi="Arial Narrow" w:cs="Calibri Light"/>
        </w:rPr>
        <w:tab/>
      </w:r>
    </w:p>
    <w:p w:rsidR="00D26817" w:rsidRPr="007303C7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Le titulaire est une PME</w:t>
      </w:r>
      <w:r w:rsidRPr="007303C7">
        <w:rPr>
          <w:rFonts w:ascii="Arial Narrow" w:hAnsi="Arial Narrow" w:cs="Calibri Light"/>
          <w:vertAlign w:val="superscript"/>
        </w:rPr>
        <w:footnoteReference w:id="1"/>
      </w:r>
      <w:r w:rsidRPr="007303C7">
        <w:rPr>
          <w:rFonts w:ascii="Arial Narrow" w:hAnsi="Arial Narrow" w:cs="Calibri Light"/>
        </w:rPr>
        <w:t xml:space="preserve"> : OUI </w:t>
      </w:r>
      <w:r w:rsidRPr="007303C7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 w:cs="Calibri Light"/>
        </w:rPr>
        <w:instrText xml:space="preserve"> FORMCHECKBOX </w:instrText>
      </w:r>
      <w:r w:rsidR="00F2124D">
        <w:rPr>
          <w:rFonts w:ascii="Arial Narrow" w:hAnsi="Arial Narrow" w:cs="Calibri Light"/>
        </w:rPr>
      </w:r>
      <w:r w:rsidR="00F2124D">
        <w:rPr>
          <w:rFonts w:ascii="Arial Narrow" w:hAnsi="Arial Narrow" w:cs="Calibri Light"/>
        </w:rPr>
        <w:fldChar w:fldCharType="separate"/>
      </w:r>
      <w:r w:rsidRPr="007303C7">
        <w:rPr>
          <w:rFonts w:ascii="Arial Narrow" w:hAnsi="Arial Narrow" w:cs="Calibri Light"/>
        </w:rPr>
        <w:fldChar w:fldCharType="end"/>
      </w:r>
      <w:r w:rsidRPr="007303C7">
        <w:rPr>
          <w:rFonts w:ascii="Arial Narrow" w:hAnsi="Arial Narrow" w:cs="Calibri Light"/>
        </w:rPr>
        <w:t xml:space="preserve"> NON </w:t>
      </w:r>
      <w:r w:rsidRPr="007303C7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 w:cs="Calibri Light"/>
        </w:rPr>
        <w:instrText xml:space="preserve"> FORMCHECKBOX </w:instrText>
      </w:r>
      <w:r w:rsidR="00F2124D">
        <w:rPr>
          <w:rFonts w:ascii="Arial Narrow" w:hAnsi="Arial Narrow" w:cs="Calibri Light"/>
        </w:rPr>
      </w:r>
      <w:r w:rsidR="00F2124D">
        <w:rPr>
          <w:rFonts w:ascii="Arial Narrow" w:hAnsi="Arial Narrow" w:cs="Calibri Light"/>
        </w:rPr>
        <w:fldChar w:fldCharType="separate"/>
      </w:r>
      <w:r w:rsidRPr="007303C7">
        <w:rPr>
          <w:rFonts w:ascii="Arial Narrow" w:hAnsi="Arial Narrow" w:cs="Calibri Light"/>
        </w:rPr>
        <w:fldChar w:fldCharType="end"/>
      </w:r>
    </w:p>
    <w:p w:rsidR="00A406B2" w:rsidRPr="007303C7" w:rsidRDefault="00A406B2" w:rsidP="00A406B2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i/>
          <w:color w:val="ED7D31" w:themeColor="accent2"/>
        </w:rPr>
      </w:pPr>
      <w:r w:rsidRPr="007303C7">
        <w:rPr>
          <w:rFonts w:ascii="Arial Narrow" w:hAnsi="Arial Narrow" w:cs="Calibri Light"/>
          <w:i/>
          <w:color w:val="ED7D31" w:themeColor="accent2"/>
        </w:rPr>
        <w:t>Si groupement :</w:t>
      </w:r>
    </w:p>
    <w:p w:rsidR="00A406B2" w:rsidRPr="007303C7" w:rsidRDefault="00A406B2" w:rsidP="00A406B2">
      <w:pPr>
        <w:pStyle w:val="En-tte"/>
        <w:tabs>
          <w:tab w:val="clear" w:pos="4536"/>
          <w:tab w:val="clear" w:pos="9072"/>
        </w:tabs>
        <w:spacing w:after="120" w:line="360" w:lineRule="auto"/>
        <w:ind w:left="1560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 xml:space="preserve"> Agissant en tant que mandataire </w:t>
      </w:r>
      <w:r w:rsidRPr="007303C7">
        <w:rPr>
          <w:rFonts w:ascii="Arial Narrow" w:hAnsi="Arial Narrow"/>
          <w:highlight w:val="yellow"/>
        </w:rPr>
        <w:t>solidaire/conjoint</w:t>
      </w:r>
      <w:r w:rsidRPr="007303C7">
        <w:rPr>
          <w:rFonts w:ascii="Arial Narrow" w:hAnsi="Arial Narrow"/>
        </w:rPr>
        <w:t xml:space="preserve"> du groupement </w:t>
      </w:r>
      <w:r w:rsidRPr="007303C7">
        <w:rPr>
          <w:rFonts w:ascii="Arial Narrow" w:hAnsi="Arial Narrow"/>
          <w:highlight w:val="yellow"/>
        </w:rPr>
        <w:t>solidaire/conjoint</w:t>
      </w:r>
      <w:r w:rsidRPr="007303C7">
        <w:rPr>
          <w:rFonts w:ascii="Arial Narrow" w:hAnsi="Arial Narrow"/>
        </w:rPr>
        <w:t xml:space="preserve"> et selon les pouvoirs mentionnés à l’article 2.2.2 de l’acte d’engagement de l’accord-cadre :</w:t>
      </w:r>
    </w:p>
    <w:p w:rsidR="00A406B2" w:rsidRPr="007303C7" w:rsidRDefault="00A406B2" w:rsidP="00A406B2">
      <w:pPr>
        <w:numPr>
          <w:ilvl w:val="0"/>
          <w:numId w:val="43"/>
        </w:num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Mandataire : </w:t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Raison sociale 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Adresse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Téléphone :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Courriel :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Forme juridique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N° RCS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Ville d’enregistrement :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N° SIRET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Code APE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N° de TVA intra-communautaire :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Le titulaire est une PME</w:t>
      </w:r>
      <w:r w:rsidRPr="007303C7">
        <w:rPr>
          <w:rFonts w:ascii="Arial Narrow" w:hAnsi="Arial Narrow" w:cs="Calibri Light"/>
          <w:vertAlign w:val="superscript"/>
        </w:rPr>
        <w:footnoteReference w:id="2"/>
      </w:r>
      <w:r w:rsidRPr="007303C7">
        <w:rPr>
          <w:rFonts w:ascii="Arial Narrow" w:hAnsi="Arial Narrow" w:cs="Calibri Light"/>
        </w:rPr>
        <w:t xml:space="preserve"> : OUI </w:t>
      </w:r>
      <w:r w:rsidRPr="007303C7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 w:cs="Calibri Light"/>
        </w:rPr>
        <w:instrText xml:space="preserve"> FORMCHECKBOX </w:instrText>
      </w:r>
      <w:r w:rsidR="00F2124D">
        <w:rPr>
          <w:rFonts w:ascii="Arial Narrow" w:hAnsi="Arial Narrow" w:cs="Calibri Light"/>
        </w:rPr>
      </w:r>
      <w:r w:rsidR="00F2124D">
        <w:rPr>
          <w:rFonts w:ascii="Arial Narrow" w:hAnsi="Arial Narrow" w:cs="Calibri Light"/>
        </w:rPr>
        <w:fldChar w:fldCharType="separate"/>
      </w:r>
      <w:r w:rsidRPr="007303C7">
        <w:rPr>
          <w:rFonts w:ascii="Arial Narrow" w:hAnsi="Arial Narrow" w:cs="Calibri Light"/>
        </w:rPr>
        <w:fldChar w:fldCharType="end"/>
      </w:r>
      <w:r w:rsidRPr="007303C7">
        <w:rPr>
          <w:rFonts w:ascii="Arial Narrow" w:hAnsi="Arial Narrow" w:cs="Calibri Light"/>
        </w:rPr>
        <w:t xml:space="preserve"> NON </w:t>
      </w:r>
      <w:r w:rsidRPr="007303C7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 w:cs="Calibri Light"/>
        </w:rPr>
        <w:instrText xml:space="preserve"> FORMCHECKBOX </w:instrText>
      </w:r>
      <w:r w:rsidR="00F2124D">
        <w:rPr>
          <w:rFonts w:ascii="Arial Narrow" w:hAnsi="Arial Narrow" w:cs="Calibri Light"/>
        </w:rPr>
      </w:r>
      <w:r w:rsidR="00F2124D">
        <w:rPr>
          <w:rFonts w:ascii="Arial Narrow" w:hAnsi="Arial Narrow" w:cs="Calibri Light"/>
        </w:rPr>
        <w:fldChar w:fldCharType="separate"/>
      </w:r>
      <w:r w:rsidRPr="007303C7">
        <w:rPr>
          <w:rFonts w:ascii="Arial Narrow" w:hAnsi="Arial Narrow" w:cs="Calibri Light"/>
        </w:rPr>
        <w:fldChar w:fldCharType="end"/>
      </w:r>
    </w:p>
    <w:p w:rsidR="00A406B2" w:rsidRPr="007303C7" w:rsidRDefault="00A406B2" w:rsidP="00A406B2">
      <w:pPr>
        <w:numPr>
          <w:ilvl w:val="0"/>
          <w:numId w:val="43"/>
        </w:num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Co-contractant n°2 :</w:t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Raison sociale 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Adresse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lastRenderedPageBreak/>
        <w:t>Téléphone :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Courriel :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Forme juridique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N° RCS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Ville d’enregistrement :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N° SIRET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 xml:space="preserve">Code APE : 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N° de TVA intra-communautaire :</w:t>
      </w:r>
      <w:r w:rsidRPr="007303C7">
        <w:rPr>
          <w:rFonts w:ascii="Arial Narrow" w:hAnsi="Arial Narrow" w:cs="Calibri Light"/>
        </w:rPr>
        <w:tab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Le titulaire est une PME</w:t>
      </w:r>
      <w:r w:rsidRPr="007303C7">
        <w:rPr>
          <w:rFonts w:ascii="Arial Narrow" w:hAnsi="Arial Narrow" w:cs="Calibri Light"/>
          <w:vertAlign w:val="superscript"/>
        </w:rPr>
        <w:footnoteReference w:id="3"/>
      </w:r>
      <w:r w:rsidRPr="007303C7">
        <w:rPr>
          <w:rFonts w:ascii="Arial Narrow" w:hAnsi="Arial Narrow" w:cs="Calibri Light"/>
        </w:rPr>
        <w:t xml:space="preserve"> : OUI </w:t>
      </w:r>
      <w:r w:rsidRPr="007303C7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 w:cs="Calibri Light"/>
        </w:rPr>
        <w:instrText xml:space="preserve"> FORMCHECKBOX </w:instrText>
      </w:r>
      <w:r w:rsidR="00F2124D">
        <w:rPr>
          <w:rFonts w:ascii="Arial Narrow" w:hAnsi="Arial Narrow" w:cs="Calibri Light"/>
        </w:rPr>
      </w:r>
      <w:r w:rsidR="00F2124D">
        <w:rPr>
          <w:rFonts w:ascii="Arial Narrow" w:hAnsi="Arial Narrow" w:cs="Calibri Light"/>
        </w:rPr>
        <w:fldChar w:fldCharType="separate"/>
      </w:r>
      <w:r w:rsidRPr="007303C7">
        <w:rPr>
          <w:rFonts w:ascii="Arial Narrow" w:hAnsi="Arial Narrow" w:cs="Calibri Light"/>
        </w:rPr>
        <w:fldChar w:fldCharType="end"/>
      </w:r>
      <w:r w:rsidRPr="007303C7">
        <w:rPr>
          <w:rFonts w:ascii="Arial Narrow" w:hAnsi="Arial Narrow" w:cs="Calibri Light"/>
        </w:rPr>
        <w:t xml:space="preserve"> NON </w:t>
      </w:r>
      <w:r w:rsidRPr="007303C7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 w:cs="Calibri Light"/>
        </w:rPr>
        <w:instrText xml:space="preserve"> FORMCHECKBOX </w:instrText>
      </w:r>
      <w:r w:rsidR="00F2124D">
        <w:rPr>
          <w:rFonts w:ascii="Arial Narrow" w:hAnsi="Arial Narrow" w:cs="Calibri Light"/>
        </w:rPr>
      </w:r>
      <w:r w:rsidR="00F2124D">
        <w:rPr>
          <w:rFonts w:ascii="Arial Narrow" w:hAnsi="Arial Narrow" w:cs="Calibri Light"/>
        </w:rPr>
        <w:fldChar w:fldCharType="separate"/>
      </w:r>
      <w:r w:rsidRPr="007303C7">
        <w:rPr>
          <w:rFonts w:ascii="Arial Narrow" w:hAnsi="Arial Narrow" w:cs="Calibri Light"/>
        </w:rPr>
        <w:fldChar w:fldCharType="end"/>
      </w:r>
    </w:p>
    <w:p w:rsidR="00A406B2" w:rsidRPr="007303C7" w:rsidRDefault="00A406B2" w:rsidP="00A406B2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  <w:i/>
        </w:rPr>
      </w:pPr>
      <w:r w:rsidRPr="007303C7">
        <w:rPr>
          <w:rFonts w:ascii="Arial Narrow" w:hAnsi="Arial Narrow" w:cs="Calibri Light"/>
          <w:i/>
        </w:rPr>
        <w:t xml:space="preserve"> (Lignes à reproduire en fonction du nombre de co-contractants)</w:t>
      </w:r>
    </w:p>
    <w:p w:rsidR="00D26817" w:rsidRPr="007303C7" w:rsidRDefault="00D26817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4261EE" w:rsidRPr="007303C7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88600A" w:rsidRPr="007303C7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PIECES CONSTITUTIVES</w:t>
      </w:r>
      <w:r w:rsidR="00CE0E19" w:rsidRPr="007303C7">
        <w:rPr>
          <w:rFonts w:ascii="Arial Narrow" w:hAnsi="Arial Narrow"/>
          <w:b/>
        </w:rPr>
        <w:t xml:space="preserve"> DU MARCHE SUBSEQUENT</w:t>
      </w:r>
    </w:p>
    <w:p w:rsidR="004261EE" w:rsidRPr="007303C7" w:rsidRDefault="004261EE" w:rsidP="004261EE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Les pièces contractuelles sont, par ordre de priorité décroissante, les suivantes :</w:t>
      </w:r>
    </w:p>
    <w:p w:rsidR="004261EE" w:rsidRPr="007303C7" w:rsidRDefault="00CE0E19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7303C7">
        <w:rPr>
          <w:rFonts w:ascii="Arial Narrow" w:hAnsi="Arial Narrow"/>
        </w:rPr>
        <w:t>Le présent marché subséquent</w:t>
      </w:r>
      <w:r w:rsidR="004261EE" w:rsidRPr="007303C7">
        <w:rPr>
          <w:rFonts w:ascii="Arial Narrow" w:hAnsi="Arial Narrow"/>
        </w:rPr>
        <w:t xml:space="preserve"> et ses annexes : </w:t>
      </w:r>
    </w:p>
    <w:p w:rsidR="004261EE" w:rsidRPr="007303C7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7303C7">
        <w:rPr>
          <w:rFonts w:ascii="Arial Narrow" w:hAnsi="Arial Narrow"/>
        </w:rPr>
        <w:t>Annexe 1 : la décomposition du prix global et forfaitaire (DPGF)</w:t>
      </w:r>
      <w:r w:rsidR="00334A76" w:rsidRPr="007303C7">
        <w:rPr>
          <w:rFonts w:ascii="Arial Narrow" w:hAnsi="Arial Narrow"/>
        </w:rPr>
        <w:t> </w:t>
      </w:r>
    </w:p>
    <w:p w:rsidR="004261EE" w:rsidRPr="007303C7" w:rsidRDefault="00B92F1A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FF24D5">
        <w:rPr>
          <w:rFonts w:ascii="Arial Narrow" w:hAnsi="Arial Narrow"/>
          <w:highlight w:val="yellow"/>
        </w:rPr>
        <w:t>Et/ou</w:t>
      </w:r>
      <w:r>
        <w:rPr>
          <w:rFonts w:ascii="Arial Narrow" w:hAnsi="Arial Narrow"/>
        </w:rPr>
        <w:t xml:space="preserve"> </w:t>
      </w:r>
      <w:r w:rsidR="004261EE" w:rsidRPr="007303C7">
        <w:rPr>
          <w:rFonts w:ascii="Arial Narrow" w:hAnsi="Arial Narrow"/>
        </w:rPr>
        <w:t>Annexe 2 : le bordereau des prix unitaires (BPU)</w:t>
      </w:r>
      <w:r>
        <w:rPr>
          <w:rFonts w:ascii="Arial Narrow" w:hAnsi="Arial Narrow"/>
        </w:rPr>
        <w:t> </w:t>
      </w:r>
    </w:p>
    <w:p w:rsidR="004261EE" w:rsidRPr="007303C7" w:rsidRDefault="00CE0E19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7303C7">
        <w:rPr>
          <w:rFonts w:ascii="Arial Narrow" w:hAnsi="Arial Narrow"/>
        </w:rPr>
        <w:t>Annexe 3</w:t>
      </w:r>
      <w:r w:rsidR="004261EE" w:rsidRPr="007303C7">
        <w:rPr>
          <w:rFonts w:ascii="Arial Narrow" w:hAnsi="Arial Narrow"/>
        </w:rPr>
        <w:t> : la déclaration de sous-t</w:t>
      </w:r>
      <w:r w:rsidRPr="007303C7">
        <w:rPr>
          <w:rFonts w:ascii="Arial Narrow" w:hAnsi="Arial Narrow"/>
        </w:rPr>
        <w:t>raitance (DC4), le cas échéant</w:t>
      </w:r>
    </w:p>
    <w:p w:rsidR="004261EE" w:rsidRPr="007303C7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7303C7">
        <w:rPr>
          <w:rFonts w:ascii="Arial Narrow" w:hAnsi="Arial Narrow"/>
        </w:rPr>
        <w:t>L</w:t>
      </w:r>
      <w:r w:rsidR="004261EE" w:rsidRPr="007303C7">
        <w:rPr>
          <w:rFonts w:ascii="Arial Narrow" w:hAnsi="Arial Narrow"/>
        </w:rPr>
        <w:t>’offre du titulaire remise d</w:t>
      </w:r>
      <w:r w:rsidR="00CE0E19" w:rsidRPr="007303C7">
        <w:rPr>
          <w:rFonts w:ascii="Arial Narrow" w:hAnsi="Arial Narrow"/>
        </w:rPr>
        <w:t>ans le cadre de la consultation</w:t>
      </w:r>
    </w:p>
    <w:p w:rsidR="00CE0E19" w:rsidRPr="007303C7" w:rsidRDefault="00CE0E19" w:rsidP="00CE0E19">
      <w:pPr>
        <w:pStyle w:val="Corpsdetexte"/>
        <w:ind w:left="360"/>
        <w:rPr>
          <w:rFonts w:ascii="Arial Narrow" w:hAnsi="Arial Narrow"/>
        </w:rPr>
      </w:pPr>
    </w:p>
    <w:p w:rsidR="004261EE" w:rsidRPr="007303C7" w:rsidRDefault="00CE0E19" w:rsidP="00CE0E19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DESCRIPTION DES PRESTATIONS</w:t>
      </w:r>
    </w:p>
    <w:p w:rsidR="00CE0E19" w:rsidRPr="007303C7" w:rsidRDefault="00CE0E19" w:rsidP="00CE0E19">
      <w:pPr>
        <w:tabs>
          <w:tab w:val="left" w:pos="360"/>
          <w:tab w:val="right" w:leader="dot" w:pos="9354"/>
        </w:tabs>
        <w:spacing w:after="0" w:line="360" w:lineRule="auto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Toutes les clauses de l’accord-cadre sont applicables.</w:t>
      </w:r>
    </w:p>
    <w:p w:rsidR="00CE0E19" w:rsidRDefault="00CE0E19" w:rsidP="00CE0E19">
      <w:pPr>
        <w:tabs>
          <w:tab w:val="left" w:pos="360"/>
          <w:tab w:val="right" w:leader="dot" w:pos="9354"/>
        </w:tabs>
        <w:spacing w:after="0" w:line="360" w:lineRule="auto"/>
        <w:jc w:val="both"/>
        <w:rPr>
          <w:rFonts w:ascii="Arial Narrow" w:hAnsi="Arial Narrow" w:cs="Calibri Light"/>
        </w:rPr>
      </w:pPr>
      <w:r w:rsidRPr="007303C7">
        <w:rPr>
          <w:rFonts w:ascii="Arial Narrow" w:hAnsi="Arial Narrow" w:cs="Calibri Light"/>
        </w:rPr>
        <w:t>Les caractéristiques et les modalités d’exécution des prestations demandées qui n’ont pas été fixées dans l’accord-cadre sont les suivantes :</w:t>
      </w:r>
    </w:p>
    <w:p w:rsidR="00A441EA" w:rsidRDefault="00A441EA" w:rsidP="00511049">
      <w:pPr>
        <w:pStyle w:val="Paragraphedeliste"/>
        <w:numPr>
          <w:ilvl w:val="0"/>
          <w:numId w:val="43"/>
        </w:numPr>
        <w:tabs>
          <w:tab w:val="left" w:pos="360"/>
          <w:tab w:val="right" w:leader="dot" w:pos="9354"/>
        </w:tabs>
        <w:spacing w:after="0" w:line="276" w:lineRule="auto"/>
        <w:jc w:val="both"/>
        <w:rPr>
          <w:rFonts w:ascii="Arial Narrow" w:hAnsi="Arial Narrow" w:cs="Calibri Light"/>
        </w:rPr>
      </w:pPr>
      <w:r>
        <w:rPr>
          <w:rFonts w:ascii="Arial Narrow" w:hAnsi="Arial Narrow" w:cs="Calibri Light"/>
        </w:rPr>
        <w:t>Description des dispositifs commandés et des publics visés</w:t>
      </w:r>
    </w:p>
    <w:p w:rsidR="00A441EA" w:rsidRPr="00A441EA" w:rsidRDefault="00A441EA" w:rsidP="00511049">
      <w:pPr>
        <w:pStyle w:val="Paragraphedeliste"/>
        <w:numPr>
          <w:ilvl w:val="0"/>
          <w:numId w:val="43"/>
        </w:numPr>
        <w:tabs>
          <w:tab w:val="left" w:pos="360"/>
          <w:tab w:val="right" w:leader="dot" w:pos="9354"/>
        </w:tabs>
        <w:spacing w:after="0" w:line="276" w:lineRule="auto"/>
        <w:jc w:val="both"/>
        <w:rPr>
          <w:rFonts w:ascii="Arial Narrow" w:hAnsi="Arial Narrow" w:cs="Calibri Light"/>
        </w:rPr>
      </w:pPr>
      <w:r>
        <w:rPr>
          <w:rFonts w:ascii="Arial Narrow" w:hAnsi="Arial Narrow" w:cs="Calibri Light"/>
        </w:rPr>
        <w:t xml:space="preserve">Indication si le dispositif reproduit une œuvre d’art </w:t>
      </w:r>
    </w:p>
    <w:p w:rsidR="00B92F1A" w:rsidRPr="00B92F1A" w:rsidRDefault="00B92F1A" w:rsidP="00511049">
      <w:pPr>
        <w:pStyle w:val="Paragraphedeliste"/>
        <w:numPr>
          <w:ilvl w:val="0"/>
          <w:numId w:val="43"/>
        </w:numPr>
        <w:tabs>
          <w:tab w:val="left" w:pos="360"/>
          <w:tab w:val="right" w:leader="dot" w:pos="9354"/>
        </w:tabs>
        <w:spacing w:after="0" w:line="276" w:lineRule="auto"/>
        <w:jc w:val="both"/>
        <w:rPr>
          <w:rFonts w:ascii="Arial Narrow" w:hAnsi="Arial Narrow" w:cs="Calibri Light"/>
        </w:rPr>
      </w:pPr>
      <w:r>
        <w:rPr>
          <w:rFonts w:ascii="Arial Narrow" w:hAnsi="Arial Narrow" w:cs="Calibri Light"/>
        </w:rPr>
        <w:t>Planning prévisionnel</w:t>
      </w:r>
    </w:p>
    <w:p w:rsidR="00CE0E19" w:rsidRDefault="009B17F7" w:rsidP="00511049">
      <w:pPr>
        <w:pStyle w:val="Paragraphedeliste"/>
        <w:numPr>
          <w:ilvl w:val="0"/>
          <w:numId w:val="43"/>
        </w:numPr>
        <w:spacing w:after="120" w:line="276" w:lineRule="auto"/>
        <w:jc w:val="both"/>
        <w:rPr>
          <w:rFonts w:ascii="Arial Narrow" w:eastAsia="Times New Roman" w:hAnsi="Arial Narrow" w:cs="Calibri Light"/>
          <w:lang w:eastAsia="fr-FR"/>
        </w:rPr>
      </w:pPr>
      <w:r>
        <w:rPr>
          <w:rFonts w:ascii="Arial Narrow" w:eastAsia="Times New Roman" w:hAnsi="Arial Narrow" w:cs="Calibri Light"/>
          <w:lang w:eastAsia="fr-FR"/>
        </w:rPr>
        <w:t>Clause relative au prix : ce qui est compris ou non compris dans le prix de l’offre du candidat</w:t>
      </w:r>
    </w:p>
    <w:p w:rsidR="00511049" w:rsidRDefault="00511049" w:rsidP="00511049">
      <w:pPr>
        <w:pStyle w:val="Paragraphedeliste"/>
        <w:numPr>
          <w:ilvl w:val="0"/>
          <w:numId w:val="43"/>
        </w:numPr>
        <w:spacing w:after="120" w:line="276" w:lineRule="auto"/>
        <w:jc w:val="both"/>
        <w:rPr>
          <w:rFonts w:ascii="Arial Narrow" w:eastAsia="Times New Roman" w:hAnsi="Arial Narrow" w:cs="Calibri Light"/>
          <w:lang w:eastAsia="fr-FR"/>
        </w:rPr>
      </w:pPr>
      <w:r>
        <w:rPr>
          <w:rFonts w:ascii="Arial Narrow" w:eastAsia="Times New Roman" w:hAnsi="Arial Narrow" w:cs="Calibri Light"/>
          <w:lang w:eastAsia="fr-FR"/>
        </w:rPr>
        <w:t>Rappel des obligations relatives à la protection de l’environnement</w:t>
      </w:r>
    </w:p>
    <w:p w:rsidR="00B92F1A" w:rsidRPr="00511049" w:rsidRDefault="00A441EA" w:rsidP="00511049">
      <w:pPr>
        <w:pStyle w:val="Paragraphedeliste"/>
        <w:numPr>
          <w:ilvl w:val="0"/>
          <w:numId w:val="43"/>
        </w:numPr>
        <w:tabs>
          <w:tab w:val="left" w:pos="360"/>
          <w:tab w:val="right" w:leader="dot" w:pos="9354"/>
        </w:tabs>
        <w:spacing w:after="0" w:line="276" w:lineRule="auto"/>
        <w:jc w:val="both"/>
        <w:rPr>
          <w:rFonts w:ascii="Arial Narrow" w:hAnsi="Arial Narrow" w:cs="Calibri Light"/>
        </w:rPr>
      </w:pPr>
      <w:r w:rsidRPr="00511049">
        <w:rPr>
          <w:rFonts w:ascii="Arial Narrow" w:hAnsi="Arial Narrow" w:cs="Calibri Light"/>
        </w:rPr>
        <w:t>Modalités de livraison et/ou expédition</w:t>
      </w:r>
    </w:p>
    <w:p w:rsidR="00511049" w:rsidRPr="00511049" w:rsidRDefault="00511049" w:rsidP="00511049">
      <w:pPr>
        <w:pStyle w:val="Paragraphedeliste"/>
        <w:numPr>
          <w:ilvl w:val="0"/>
          <w:numId w:val="43"/>
        </w:numPr>
        <w:tabs>
          <w:tab w:val="left" w:pos="360"/>
          <w:tab w:val="right" w:leader="dot" w:pos="9354"/>
        </w:tabs>
        <w:spacing w:after="0" w:line="276" w:lineRule="auto"/>
        <w:jc w:val="both"/>
        <w:rPr>
          <w:rFonts w:ascii="Arial Narrow" w:hAnsi="Arial Narrow" w:cs="Calibri Light"/>
        </w:rPr>
      </w:pPr>
      <w:r w:rsidRPr="00511049">
        <w:rPr>
          <w:rFonts w:ascii="Arial Narrow" w:hAnsi="Arial Narrow" w:cs="Calibri Light"/>
        </w:rPr>
        <w:t>Critères d’attribution du présent marché subséquent</w:t>
      </w:r>
      <w:r w:rsidR="00FF24D5">
        <w:rPr>
          <w:rFonts w:ascii="Arial Narrow" w:hAnsi="Arial Narrow" w:cs="Calibri Light"/>
        </w:rPr>
        <w:t xml:space="preserve"> (valeur technique, prix et prise en compte des enjeux environnementaux)</w:t>
      </w:r>
    </w:p>
    <w:p w:rsidR="00B92F1A" w:rsidRPr="009B17F7" w:rsidRDefault="00511049" w:rsidP="009B17F7">
      <w:pPr>
        <w:pStyle w:val="Paragraphedeliste"/>
        <w:numPr>
          <w:ilvl w:val="0"/>
          <w:numId w:val="43"/>
        </w:numPr>
        <w:tabs>
          <w:tab w:val="left" w:pos="360"/>
          <w:tab w:val="right" w:leader="dot" w:pos="9354"/>
        </w:tabs>
        <w:spacing w:after="0" w:line="360" w:lineRule="auto"/>
        <w:jc w:val="both"/>
        <w:rPr>
          <w:rFonts w:ascii="Arial Narrow" w:hAnsi="Arial Narrow" w:cs="Calibri Light"/>
        </w:rPr>
      </w:pPr>
      <w:r w:rsidRPr="00511049">
        <w:rPr>
          <w:rFonts w:ascii="Arial Narrow" w:hAnsi="Arial Narrow" w:cs="Calibri Light"/>
        </w:rPr>
        <w:lastRenderedPageBreak/>
        <w:t>Négociations</w:t>
      </w:r>
    </w:p>
    <w:p w:rsidR="00CE0E19" w:rsidRPr="007303C7" w:rsidRDefault="00CE0E19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:rsidR="004261EE" w:rsidRPr="007303C7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DUREE DU MARCHE</w:t>
      </w:r>
      <w:r w:rsidR="00CE0E19" w:rsidRPr="007303C7">
        <w:rPr>
          <w:rFonts w:ascii="Arial Narrow" w:hAnsi="Arial Narrow"/>
          <w:b/>
        </w:rPr>
        <w:t xml:space="preserve"> SUBSEQUENT</w:t>
      </w:r>
    </w:p>
    <w:p w:rsidR="00334A76" w:rsidRPr="007303C7" w:rsidRDefault="00334A76" w:rsidP="00334A76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La durée du marché est de…………. </w:t>
      </w:r>
      <w:proofErr w:type="gramStart"/>
      <w:r w:rsidRPr="007303C7">
        <w:rPr>
          <w:rFonts w:ascii="Arial Narrow" w:hAnsi="Arial Narrow"/>
        </w:rPr>
        <w:t>( …</w:t>
      </w:r>
      <w:proofErr w:type="gramEnd"/>
      <w:r w:rsidRPr="007303C7">
        <w:rPr>
          <w:rFonts w:ascii="Arial Narrow" w:hAnsi="Arial Narrow"/>
        </w:rPr>
        <w:t>) an/mois à compter de sa date de notification.</w:t>
      </w:r>
    </w:p>
    <w:p w:rsidR="00334A76" w:rsidRPr="00B92F1A" w:rsidRDefault="00B92F1A" w:rsidP="00334A76">
      <w:pPr>
        <w:pStyle w:val="Corpsdetexte"/>
        <w:rPr>
          <w:rFonts w:ascii="Arial Narrow" w:hAnsi="Arial Narrow"/>
        </w:rPr>
      </w:pPr>
      <w:r w:rsidRPr="00B92F1A">
        <w:rPr>
          <w:rFonts w:ascii="Arial Narrow" w:hAnsi="Arial Narrow"/>
          <w:highlight w:val="yellow"/>
        </w:rPr>
        <w:t>Ou s</w:t>
      </w:r>
      <w:r w:rsidR="00334A76" w:rsidRPr="00B92F1A">
        <w:rPr>
          <w:rFonts w:ascii="Arial Narrow" w:hAnsi="Arial Narrow"/>
          <w:highlight w:val="yellow"/>
        </w:rPr>
        <w:t>i accord-cadre :</w:t>
      </w:r>
    </w:p>
    <w:p w:rsidR="00334A76" w:rsidRPr="007303C7" w:rsidRDefault="00334A76" w:rsidP="00334A76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:rsidR="004261EE" w:rsidRPr="007303C7" w:rsidRDefault="00334A76" w:rsidP="00334A76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L’EPMO se réserve le droit de ne pas renouveler l’accord-cadre par décision expresse notifiée au titulaire au moins trois (3) mois avant la date d’échéance annuelle.</w:t>
      </w:r>
    </w:p>
    <w:p w:rsidR="00334A76" w:rsidRPr="007303C7" w:rsidRDefault="00334A76" w:rsidP="00334A76">
      <w:pPr>
        <w:pStyle w:val="Corpsdetexte"/>
        <w:rPr>
          <w:rFonts w:ascii="Arial Narrow" w:hAnsi="Arial Narrow"/>
        </w:rPr>
      </w:pPr>
    </w:p>
    <w:p w:rsidR="00180990" w:rsidRPr="007303C7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MONTANT DU MARCHE</w:t>
      </w:r>
      <w:r w:rsidR="00BE0A37" w:rsidRPr="007303C7">
        <w:rPr>
          <w:rFonts w:ascii="Arial Narrow" w:hAnsi="Arial Narrow"/>
          <w:b/>
        </w:rPr>
        <w:t xml:space="preserve"> SUBSEQUENT</w:t>
      </w:r>
    </w:p>
    <w:p w:rsidR="00BE0A37" w:rsidRPr="007303C7" w:rsidRDefault="00BE0A37" w:rsidP="00F92E77">
      <w:pPr>
        <w:pStyle w:val="Corpsdetexte"/>
        <w:spacing w:after="240"/>
        <w:rPr>
          <w:rFonts w:ascii="Arial Narrow" w:hAnsi="Arial Narrow"/>
        </w:rPr>
      </w:pPr>
      <w:r w:rsidRPr="007303C7">
        <w:rPr>
          <w:rFonts w:ascii="Arial Narrow" w:hAnsi="Arial Narrow"/>
        </w:rPr>
        <w:t>Il est rappelé que les prix unitaires figurant dans la DPGF du présent marché subséquent ne devront pas dépasser les prix indiqués dans le référentiel de prix plafonds annexé à l’acte d’engagement de l’accord-cadre.</w:t>
      </w:r>
    </w:p>
    <w:p w:rsidR="00BE0A37" w:rsidRPr="007303C7" w:rsidRDefault="00BE0A37" w:rsidP="00BE0A37">
      <w:pPr>
        <w:pStyle w:val="Corpsdetexte"/>
        <w:spacing w:after="240"/>
        <w:rPr>
          <w:rFonts w:ascii="Arial Narrow" w:hAnsi="Arial Narrow"/>
          <w:color w:val="ED7D31" w:themeColor="accent2"/>
        </w:rPr>
      </w:pPr>
      <w:r w:rsidRPr="007303C7">
        <w:rPr>
          <w:rFonts w:ascii="Arial Narrow" w:hAnsi="Arial Narrow"/>
          <w:bCs/>
          <w:i/>
          <w:color w:val="ED7D31" w:themeColor="accent2"/>
        </w:rPr>
        <w:t>Si le marché subséquent est forfaitaire :</w:t>
      </w:r>
    </w:p>
    <w:p w:rsidR="00BE0A37" w:rsidRPr="007303C7" w:rsidRDefault="00BE0A37" w:rsidP="00BE0A3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Le montant total de la part forfaitaire conformément à la DPGF s’élève à la somme de :</w:t>
      </w:r>
    </w:p>
    <w:p w:rsidR="00BE0A37" w:rsidRPr="007303C7" w:rsidRDefault="00BE0A37" w:rsidP="00BE0A3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:rsidR="00BE0A37" w:rsidRPr="007303C7" w:rsidRDefault="00BE0A37" w:rsidP="00BE0A3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:rsidR="00BE0A37" w:rsidRPr="007303C7" w:rsidRDefault="00BE0A37" w:rsidP="00BE0A3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:rsidR="00BE0A37" w:rsidRPr="007303C7" w:rsidRDefault="00BE0A37" w:rsidP="00BE0A3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:rsidR="00BE0A37" w:rsidRPr="007303C7" w:rsidRDefault="00BE0A37" w:rsidP="00BE0A3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Le montant total de la part forfaitaire toutes taxes comprises est de (en toutes lettres) :  </w:t>
      </w:r>
    </w:p>
    <w:p w:rsidR="00BE0A37" w:rsidRPr="007303C7" w:rsidRDefault="00BE0A37" w:rsidP="00BE0A3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:rsidR="00BE0A37" w:rsidRPr="007303C7" w:rsidRDefault="00BE0A37" w:rsidP="00BE0A37">
      <w:pPr>
        <w:pStyle w:val="Corpsdetexte"/>
        <w:rPr>
          <w:rFonts w:ascii="Arial Narrow" w:hAnsi="Arial Narrow"/>
          <w:i/>
        </w:rPr>
      </w:pPr>
    </w:p>
    <w:p w:rsidR="00BE0A37" w:rsidRPr="007303C7" w:rsidRDefault="00BE0A37" w:rsidP="00F92E77">
      <w:pPr>
        <w:pStyle w:val="Corpsdetexte"/>
        <w:spacing w:after="240"/>
        <w:rPr>
          <w:rFonts w:ascii="Arial Narrow" w:hAnsi="Arial Narrow"/>
          <w:bCs/>
          <w:i/>
          <w:color w:val="ED7D31" w:themeColor="accent2"/>
        </w:rPr>
      </w:pPr>
      <w:r w:rsidRPr="007303C7">
        <w:rPr>
          <w:rFonts w:ascii="Arial Narrow" w:hAnsi="Arial Narrow"/>
          <w:bCs/>
          <w:i/>
          <w:color w:val="ED7D31" w:themeColor="accent2"/>
        </w:rPr>
        <w:t>Si le marché subséquent est passé sous la forme d’un accord-cadre à bons de commande :</w:t>
      </w:r>
    </w:p>
    <w:p w:rsidR="00F92E77" w:rsidRPr="007303C7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7303C7">
        <w:rPr>
          <w:rFonts w:ascii="Arial Narrow" w:hAnsi="Arial Narrow"/>
          <w:b/>
          <w:bCs/>
        </w:rPr>
        <w:t>Montant de la part forfaitaire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Le montant total de la part forfaitaire conformément à la DPGF s’élève à la somme de :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lastRenderedPageBreak/>
        <w:t>Montant TTC                                                                                                €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Le montant total de la part forfaitaire toutes taxes comprises est de (en toutes lettres) :  </w:t>
      </w:r>
    </w:p>
    <w:p w:rsidR="00F92E77" w:rsidRPr="007303C7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:rsidR="00F92E77" w:rsidRPr="007303C7" w:rsidRDefault="00F92E77" w:rsidP="00F92E77">
      <w:pPr>
        <w:pStyle w:val="Corpsdetexte"/>
        <w:rPr>
          <w:rFonts w:ascii="Arial Narrow" w:hAnsi="Arial Narrow"/>
          <w:i/>
        </w:rPr>
      </w:pPr>
    </w:p>
    <w:p w:rsidR="00F92E77" w:rsidRPr="007303C7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7303C7">
        <w:rPr>
          <w:rFonts w:ascii="Arial Narrow" w:hAnsi="Arial Narrow"/>
          <w:b/>
          <w:bCs/>
        </w:rPr>
        <w:t>Montant de la part à bons de commande</w:t>
      </w:r>
    </w:p>
    <w:p w:rsidR="00F92E77" w:rsidRPr="007303C7" w:rsidRDefault="00BE0A3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Le présent marché subséquent passé sous la forme d’un accord-cadre</w:t>
      </w:r>
      <w:r w:rsidR="00F92E77" w:rsidRPr="007303C7">
        <w:rPr>
          <w:rFonts w:ascii="Arial Narrow" w:hAnsi="Arial Narrow"/>
        </w:rPr>
        <w:t xml:space="preserve"> pourra donner lieu à l’émission de bons de commande sur la base des prix unitaires figurant dans le BPU</w:t>
      </w:r>
      <w:r w:rsidRPr="007303C7">
        <w:rPr>
          <w:rFonts w:ascii="Arial Narrow" w:hAnsi="Arial Narrow"/>
        </w:rPr>
        <w:t xml:space="preserve"> joint en annexe</w:t>
      </w:r>
      <w:r w:rsidR="00F92E77" w:rsidRPr="007303C7">
        <w:rPr>
          <w:rFonts w:ascii="Arial Narrow" w:hAnsi="Arial Narrow"/>
        </w:rPr>
        <w:t xml:space="preserve">. 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Pour cette part à commandes, </w:t>
      </w:r>
      <w:r w:rsidR="00BE0A37" w:rsidRPr="007303C7">
        <w:rPr>
          <w:rFonts w:ascii="Arial Narrow" w:hAnsi="Arial Narrow"/>
        </w:rPr>
        <w:t>le marché subséquent</w:t>
      </w:r>
      <w:r w:rsidRPr="007303C7">
        <w:rPr>
          <w:rFonts w:ascii="Arial Narrow" w:hAnsi="Arial Narrow"/>
        </w:rPr>
        <w:t xml:space="preserve"> comprendra sur sa durée totale :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ab/>
        <w:t xml:space="preserve">- Pas de montant minimum 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ab/>
        <w:t xml:space="preserve">- Un montant maximum sur la durée totale fixé </w:t>
      </w:r>
      <w:proofErr w:type="gramStart"/>
      <w:r w:rsidRPr="007303C7">
        <w:rPr>
          <w:rFonts w:ascii="Arial Narrow" w:hAnsi="Arial Narrow"/>
        </w:rPr>
        <w:t>à  …</w:t>
      </w:r>
      <w:proofErr w:type="gramEnd"/>
      <w:r w:rsidRPr="007303C7">
        <w:rPr>
          <w:rFonts w:ascii="Arial Narrow" w:hAnsi="Arial Narrow"/>
        </w:rPr>
        <w:t>……€ HT</w:t>
      </w:r>
    </w:p>
    <w:p w:rsidR="00F92E77" w:rsidRPr="007303C7" w:rsidRDefault="00F92E77" w:rsidP="00F92E77">
      <w:pPr>
        <w:pStyle w:val="Corpsdetexte"/>
        <w:rPr>
          <w:rFonts w:ascii="Arial Narrow" w:hAnsi="Arial Narrow"/>
          <w:i/>
        </w:rPr>
      </w:pPr>
    </w:p>
    <w:p w:rsidR="00F92E77" w:rsidRPr="007303C7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AVANCE</w:t>
      </w:r>
      <w:r w:rsidR="00BE0A37" w:rsidRPr="007303C7">
        <w:rPr>
          <w:rFonts w:ascii="Arial Narrow" w:hAnsi="Arial Narrow"/>
          <w:b/>
        </w:rPr>
        <w:t xml:space="preserve"> </w:t>
      </w:r>
    </w:p>
    <w:p w:rsidR="00F92E77" w:rsidRPr="007303C7" w:rsidRDefault="00F92E77" w:rsidP="00BE0A37">
      <w:pPr>
        <w:pStyle w:val="Corpsdetexte"/>
        <w:jc w:val="left"/>
        <w:rPr>
          <w:rFonts w:ascii="Arial Narrow" w:hAnsi="Arial Narrow"/>
          <w:i/>
          <w:sz w:val="20"/>
          <w:szCs w:val="20"/>
        </w:rPr>
      </w:pPr>
      <w:r w:rsidRPr="007303C7">
        <w:rPr>
          <w:rFonts w:ascii="Arial Narrow" w:hAnsi="Arial Narrow"/>
          <w:i/>
          <w:sz w:val="20"/>
          <w:szCs w:val="20"/>
        </w:rPr>
        <w:t xml:space="preserve">A remplir en cas de titulaire unique ou de groupement </w:t>
      </w:r>
      <w:r w:rsidR="00374088" w:rsidRPr="007303C7">
        <w:rPr>
          <w:rFonts w:ascii="Arial Narrow" w:hAnsi="Arial Narrow"/>
          <w:i/>
          <w:sz w:val="20"/>
          <w:szCs w:val="20"/>
        </w:rPr>
        <w:t>solidaire (voir article 8</w:t>
      </w:r>
      <w:r w:rsidRPr="007303C7">
        <w:rPr>
          <w:rFonts w:ascii="Arial Narrow" w:hAnsi="Arial Narrow"/>
          <w:i/>
          <w:sz w:val="20"/>
          <w:szCs w:val="20"/>
        </w:rPr>
        <w:t>.1 pour les groupements conjoints)</w:t>
      </w:r>
    </w:p>
    <w:p w:rsidR="00BE0A37" w:rsidRPr="007303C7" w:rsidRDefault="00BE0A3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Conformément aux stipulations de l’article 11.1 du CCAP de l’accord-cadre, le présent marché subséquent donnera lieu au versement d’une avance de XX % dans les conditions fixées aux articles R. 2191-3 et suivants du Code de la commande publique, sauf si le titulaire y renonce. 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Je renonce au bénéfice de l'avance :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Non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Oui</w:t>
      </w:r>
    </w:p>
    <w:p w:rsidR="00F92E77" w:rsidRPr="007303C7" w:rsidRDefault="00F92E77" w:rsidP="00F92E77">
      <w:pPr>
        <w:pStyle w:val="Corpsdetexte"/>
        <w:rPr>
          <w:rFonts w:ascii="Arial Narrow" w:hAnsi="Arial Narrow"/>
          <w:i/>
        </w:rPr>
      </w:pPr>
    </w:p>
    <w:p w:rsidR="00BE0A37" w:rsidRPr="007303C7" w:rsidRDefault="00BE0A37" w:rsidP="00BE0A3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PAIEMENT DES PRESTATIONS</w:t>
      </w:r>
    </w:p>
    <w:p w:rsidR="00BE0A37" w:rsidRPr="007303C7" w:rsidRDefault="00BE0A37" w:rsidP="00374088">
      <w:pPr>
        <w:pStyle w:val="En-tte"/>
        <w:numPr>
          <w:ilvl w:val="1"/>
          <w:numId w:val="45"/>
        </w:numPr>
        <w:tabs>
          <w:tab w:val="clear" w:pos="4536"/>
          <w:tab w:val="clear" w:pos="9072"/>
        </w:tabs>
        <w:spacing w:after="240" w:line="360" w:lineRule="auto"/>
        <w:jc w:val="both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 xml:space="preserve">Paiement de la part forfaitaire </w:t>
      </w:r>
    </w:p>
    <w:p w:rsidR="00BE0A37" w:rsidRPr="007303C7" w:rsidRDefault="00BE0A37" w:rsidP="00BE0A37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Le paiement des prestations forfaitaires </w:t>
      </w:r>
      <w:r w:rsidRPr="00B92F1A">
        <w:rPr>
          <w:rFonts w:ascii="Arial Narrow" w:hAnsi="Arial Narrow"/>
        </w:rPr>
        <w:t xml:space="preserve">s’effectuera </w:t>
      </w:r>
      <w:r w:rsidRPr="00B92F1A">
        <w:rPr>
          <w:rFonts w:ascii="Arial Narrow" w:hAnsi="Arial Narrow"/>
          <w:highlight w:val="yellow"/>
        </w:rPr>
        <w:t>(</w:t>
      </w:r>
      <w:r w:rsidR="00B92F1A">
        <w:rPr>
          <w:rFonts w:ascii="Arial Narrow" w:hAnsi="Arial Narrow"/>
          <w:highlight w:val="yellow"/>
        </w:rPr>
        <w:t>sera précisé dans chaque marché subséquent</w:t>
      </w:r>
      <w:r w:rsidRPr="00B92F1A">
        <w:rPr>
          <w:rFonts w:ascii="Arial Narrow" w:hAnsi="Arial Narrow"/>
          <w:highlight w:val="yellow"/>
        </w:rPr>
        <w:t>)</w:t>
      </w:r>
      <w:r w:rsidRPr="00B92F1A">
        <w:rPr>
          <w:rFonts w:ascii="Arial Narrow" w:hAnsi="Arial Narrow"/>
        </w:rPr>
        <w:t xml:space="preserve"> </w:t>
      </w:r>
      <w:r w:rsidRPr="007303C7">
        <w:rPr>
          <w:rFonts w:ascii="Arial Narrow" w:hAnsi="Arial Narrow"/>
        </w:rPr>
        <w:t>:</w:t>
      </w:r>
    </w:p>
    <w:p w:rsidR="00BE0A37" w:rsidRPr="007303C7" w:rsidRDefault="00BE0A37" w:rsidP="00BE0A37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-  de façon </w:t>
      </w:r>
      <w:r w:rsidRPr="007303C7">
        <w:rPr>
          <w:rFonts w:ascii="Arial Narrow" w:hAnsi="Arial Narrow"/>
          <w:highlight w:val="yellow"/>
        </w:rPr>
        <w:t>mensuelle / trimestrielle / annuelle</w:t>
      </w:r>
      <w:r w:rsidRPr="007303C7">
        <w:rPr>
          <w:rFonts w:ascii="Arial Narrow" w:hAnsi="Arial Narrow"/>
        </w:rPr>
        <w:t>;</w:t>
      </w:r>
    </w:p>
    <w:p w:rsidR="00BE0A37" w:rsidRPr="007303C7" w:rsidRDefault="00BE0A37" w:rsidP="00BE0A37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-</w:t>
      </w:r>
      <w:r w:rsidR="00B92F1A">
        <w:rPr>
          <w:rFonts w:ascii="Arial Narrow" w:hAnsi="Arial Narrow"/>
        </w:rPr>
        <w:t xml:space="preserve"> </w:t>
      </w:r>
      <w:r w:rsidR="00B92F1A" w:rsidRPr="00B92F1A">
        <w:rPr>
          <w:rFonts w:ascii="Arial Narrow" w:hAnsi="Arial Narrow"/>
          <w:highlight w:val="yellow"/>
        </w:rPr>
        <w:t>ou</w:t>
      </w:r>
      <w:r w:rsidRPr="007303C7">
        <w:rPr>
          <w:rFonts w:ascii="Arial Narrow" w:hAnsi="Arial Narrow"/>
        </w:rPr>
        <w:t xml:space="preserve"> en un règlement unique à l’admission de la totalité des prestations.  </w:t>
      </w:r>
    </w:p>
    <w:p w:rsidR="00BE0A37" w:rsidRPr="007303C7" w:rsidRDefault="00B92F1A" w:rsidP="00374088">
      <w:pPr>
        <w:pStyle w:val="En-tte"/>
        <w:numPr>
          <w:ilvl w:val="1"/>
          <w:numId w:val="45"/>
        </w:numPr>
        <w:tabs>
          <w:tab w:val="clear" w:pos="4536"/>
          <w:tab w:val="clear" w:pos="9072"/>
        </w:tabs>
        <w:spacing w:after="240" w:line="36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Et/ou </w:t>
      </w:r>
      <w:r w:rsidR="00BE0A37" w:rsidRPr="007303C7">
        <w:rPr>
          <w:rFonts w:ascii="Arial Narrow" w:hAnsi="Arial Narrow"/>
          <w:b/>
        </w:rPr>
        <w:t>Paiement de la part à commandes</w:t>
      </w:r>
      <w:r w:rsidR="00374088" w:rsidRPr="007303C7">
        <w:rPr>
          <w:rFonts w:ascii="Arial Narrow" w:hAnsi="Arial Narrow"/>
          <w:b/>
        </w:rPr>
        <w:t xml:space="preserve"> </w:t>
      </w:r>
    </w:p>
    <w:p w:rsidR="00BE0A37" w:rsidRPr="007303C7" w:rsidRDefault="00BE0A37" w:rsidP="00374088">
      <w:pPr>
        <w:pStyle w:val="En-tte"/>
        <w:spacing w:after="120" w:line="360" w:lineRule="auto"/>
        <w:rPr>
          <w:rFonts w:ascii="Arial Narrow" w:hAnsi="Arial Narrow"/>
        </w:rPr>
      </w:pPr>
      <w:r w:rsidRPr="007303C7">
        <w:rPr>
          <w:rFonts w:ascii="Arial Narrow" w:hAnsi="Arial Narrow"/>
        </w:rPr>
        <w:t>Les prestations seront réglées sur présentation d’une facture pour chaque bon de commande émis sur la base des prix unitaires fixés dans le BPU.</w:t>
      </w:r>
    </w:p>
    <w:p w:rsidR="00374088" w:rsidRPr="007303C7" w:rsidRDefault="00374088" w:rsidP="00374088">
      <w:pPr>
        <w:pStyle w:val="En-tte"/>
        <w:spacing w:after="120" w:line="360" w:lineRule="auto"/>
        <w:rPr>
          <w:rFonts w:ascii="Arial Narrow" w:hAnsi="Arial Narrow"/>
        </w:rPr>
      </w:pPr>
    </w:p>
    <w:p w:rsidR="00BE0A37" w:rsidRPr="007303C7" w:rsidRDefault="00BE0A37" w:rsidP="00BE0A3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lastRenderedPageBreak/>
        <w:t xml:space="preserve">Les conditions relatives aux modalités de facturation des prestations du présent marché subséquent sont celles indiquées </w:t>
      </w:r>
      <w:r w:rsidR="00374088" w:rsidRPr="007303C7">
        <w:rPr>
          <w:rFonts w:ascii="Arial Narrow" w:hAnsi="Arial Narrow"/>
        </w:rPr>
        <w:t>à l’article</w:t>
      </w:r>
      <w:r w:rsidRPr="007303C7">
        <w:rPr>
          <w:rFonts w:ascii="Arial Narrow" w:hAnsi="Arial Narrow"/>
        </w:rPr>
        <w:t xml:space="preserve"> 12 du CCAP de l’accord-cadre. </w:t>
      </w:r>
    </w:p>
    <w:p w:rsidR="00BE0A37" w:rsidRPr="007303C7" w:rsidRDefault="00BE0A37" w:rsidP="00F92E77">
      <w:pPr>
        <w:pStyle w:val="Corpsdetexte"/>
        <w:rPr>
          <w:rFonts w:ascii="Arial Narrow" w:hAnsi="Arial Narrow"/>
          <w:i/>
        </w:rPr>
      </w:pPr>
    </w:p>
    <w:p w:rsidR="00F92E77" w:rsidRPr="007303C7" w:rsidRDefault="00F92E77" w:rsidP="00374088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CLAUSES FINANCIERES EN CAS DE GROUPEMENT</w:t>
      </w:r>
    </w:p>
    <w:p w:rsidR="00BE0A37" w:rsidRPr="007303C7" w:rsidRDefault="00BE0A37" w:rsidP="00BE0A3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Il est rappelé aux titulaires de l’accord-cadre qu’ils n’ont pas la possibilité de changer la composition et la forme du groupement au regard de ce qui a été mentionné dans l’accord-cadre. Aussi, chaque titulai</w:t>
      </w:r>
      <w:r w:rsidR="00374088" w:rsidRPr="007303C7">
        <w:rPr>
          <w:rFonts w:ascii="Arial Narrow" w:hAnsi="Arial Narrow"/>
        </w:rPr>
        <w:t>re doit remplir soit l’article 8.1 soit l’article 8</w:t>
      </w:r>
      <w:r w:rsidRPr="007303C7">
        <w:rPr>
          <w:rFonts w:ascii="Arial Narrow" w:hAnsi="Arial Narrow"/>
        </w:rPr>
        <w:t xml:space="preserve">.2 ci-dessous en fonction des indications portées dans l’acte d’engagement de l’accord-cadre. </w:t>
      </w:r>
    </w:p>
    <w:p w:rsidR="00F92E77" w:rsidRPr="007303C7" w:rsidRDefault="00F92E77" w:rsidP="00374088">
      <w:pPr>
        <w:pStyle w:val="Corpsdetexte"/>
        <w:numPr>
          <w:ilvl w:val="1"/>
          <w:numId w:val="36"/>
        </w:numPr>
        <w:ind w:left="851" w:hanging="785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En cas de groupement conjoint</w:t>
      </w:r>
    </w:p>
    <w:p w:rsidR="00F92E77" w:rsidRPr="007303C7" w:rsidRDefault="00F92E77" w:rsidP="00374088">
      <w:pPr>
        <w:pStyle w:val="Corpsdetexte"/>
        <w:numPr>
          <w:ilvl w:val="2"/>
          <w:numId w:val="36"/>
        </w:numPr>
        <w:ind w:left="1560"/>
        <w:rPr>
          <w:rFonts w:ascii="Arial Narrow" w:hAnsi="Arial Narrow"/>
          <w:u w:val="single"/>
        </w:rPr>
      </w:pPr>
      <w:r w:rsidRPr="007303C7">
        <w:rPr>
          <w:rFonts w:ascii="Arial Narrow" w:hAnsi="Arial Narrow"/>
          <w:u w:val="single"/>
        </w:rPr>
        <w:t>Répartition de la part forfaitaire</w:t>
      </w:r>
    </w:p>
    <w:p w:rsidR="00F92E77" w:rsidRPr="007303C7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7303C7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:rsidR="00F92E77" w:rsidRPr="007303C7" w:rsidRDefault="00F92E77" w:rsidP="00F92E77">
      <w:pPr>
        <w:pStyle w:val="Corpsdetexte"/>
        <w:rPr>
          <w:rFonts w:ascii="Arial Narrow" w:hAnsi="Arial Narrow"/>
          <w:u w:val="single"/>
        </w:rPr>
      </w:pPr>
      <w:r w:rsidRPr="007303C7">
        <w:rPr>
          <w:rFonts w:ascii="Arial Narrow" w:hAnsi="Arial Narrow"/>
          <w:u w:val="single"/>
        </w:rPr>
        <w:t>Cotraitant n°1 :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Pour la part forfaitaire, je renonce au bénéfice de l'avance :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Non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Oui</w:t>
      </w:r>
    </w:p>
    <w:p w:rsidR="00F92E77" w:rsidRPr="007303C7" w:rsidRDefault="00F92E77" w:rsidP="00F92E77">
      <w:pPr>
        <w:pStyle w:val="Corpsdetexte"/>
        <w:rPr>
          <w:rFonts w:ascii="Arial Narrow" w:hAnsi="Arial Narrow"/>
          <w:u w:val="single"/>
        </w:rPr>
      </w:pPr>
      <w:r w:rsidRPr="007303C7">
        <w:rPr>
          <w:rFonts w:ascii="Arial Narrow" w:hAnsi="Arial Narrow"/>
          <w:u w:val="single"/>
        </w:rPr>
        <w:t>Cotraitant n°2 :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Pour la part forfaitaire, je renonce au bénéfice de l'avance :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Non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Oui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Chacun des membres de groupement doit donc </w:t>
      </w:r>
      <w:r w:rsidRPr="007303C7">
        <w:rPr>
          <w:rFonts w:ascii="Arial Narrow" w:hAnsi="Arial Narrow"/>
          <w:b/>
        </w:rPr>
        <w:t>fournir un RIB</w:t>
      </w:r>
      <w:r w:rsidRPr="007303C7">
        <w:rPr>
          <w:rFonts w:ascii="Arial Narrow" w:hAnsi="Arial Narrow"/>
        </w:rPr>
        <w:t xml:space="preserve"> qui sera joint au présent acte d’engagement.</w:t>
      </w:r>
    </w:p>
    <w:p w:rsidR="00F92E77" w:rsidRPr="007303C7" w:rsidRDefault="00F92E77" w:rsidP="00F92E77">
      <w:pPr>
        <w:pStyle w:val="Corpsdetexte"/>
        <w:rPr>
          <w:rFonts w:ascii="Arial Narrow" w:hAnsi="Arial Narrow"/>
          <w:i/>
        </w:rPr>
      </w:pPr>
    </w:p>
    <w:p w:rsidR="00F92E77" w:rsidRPr="007303C7" w:rsidRDefault="004651E0" w:rsidP="00374088">
      <w:pPr>
        <w:pStyle w:val="Corpsdetexte"/>
        <w:numPr>
          <w:ilvl w:val="2"/>
          <w:numId w:val="36"/>
        </w:numPr>
        <w:ind w:left="1560"/>
        <w:rPr>
          <w:rFonts w:ascii="Arial Narrow" w:hAnsi="Arial Narrow"/>
          <w:u w:val="single"/>
        </w:rPr>
      </w:pPr>
      <w:r>
        <w:rPr>
          <w:rFonts w:ascii="Arial Narrow" w:hAnsi="Arial Narrow"/>
          <w:u w:val="single"/>
        </w:rPr>
        <w:t xml:space="preserve">Et/ou </w:t>
      </w:r>
      <w:r w:rsidR="00F92E77" w:rsidRPr="007303C7">
        <w:rPr>
          <w:rFonts w:ascii="Arial Narrow" w:hAnsi="Arial Narrow"/>
          <w:u w:val="single"/>
        </w:rPr>
        <w:t>Répartition de la part à commandes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Chaque membre du groupement perçoit directement les sommes se rapportant à l’exécution des prestations commandées.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Chacun des membres de groupement doit donc fournir </w:t>
      </w:r>
      <w:r w:rsidRPr="007303C7">
        <w:rPr>
          <w:rFonts w:ascii="Arial Narrow" w:hAnsi="Arial Narrow"/>
          <w:b/>
        </w:rPr>
        <w:t>un RIB</w:t>
      </w:r>
      <w:r w:rsidRPr="007303C7">
        <w:rPr>
          <w:rFonts w:ascii="Arial Narrow" w:hAnsi="Arial Narrow"/>
        </w:rPr>
        <w:t xml:space="preserve"> qui sera joint au présent acte d’engagement.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</w:t>
      </w:r>
      <w:r w:rsidRPr="007303C7">
        <w:rPr>
          <w:rFonts w:ascii="Arial Narrow" w:hAnsi="Arial Narrow"/>
          <w:i/>
        </w:rPr>
        <w:t xml:space="preserve">(lignes à reproduire en fonction du nombre de </w:t>
      </w:r>
      <w:r w:rsidR="00374088" w:rsidRPr="007303C7">
        <w:rPr>
          <w:rFonts w:ascii="Arial Narrow" w:hAnsi="Arial Narrow"/>
          <w:i/>
        </w:rPr>
        <w:t>cotraitants</w:t>
      </w:r>
      <w:r w:rsidRPr="007303C7">
        <w:rPr>
          <w:rFonts w:ascii="Arial Narrow" w:hAnsi="Arial Narrow"/>
          <w:i/>
        </w:rPr>
        <w:t>)</w:t>
      </w:r>
      <w:r w:rsidRPr="007303C7">
        <w:rPr>
          <w:rFonts w:ascii="Arial Narrow" w:hAnsi="Arial Narrow"/>
        </w:rPr>
        <w:t> :</w:t>
      </w:r>
    </w:p>
    <w:p w:rsidR="00F92E77" w:rsidRPr="007303C7" w:rsidRDefault="00F92E77" w:rsidP="00F92E77">
      <w:pPr>
        <w:pStyle w:val="Corpsdetexte"/>
        <w:rPr>
          <w:rFonts w:ascii="Arial Narrow" w:hAnsi="Arial Narrow"/>
          <w:u w:val="single"/>
        </w:rPr>
      </w:pPr>
      <w:r w:rsidRPr="007303C7">
        <w:rPr>
          <w:rFonts w:ascii="Arial Narrow" w:hAnsi="Arial Narrow"/>
          <w:u w:val="single"/>
        </w:rPr>
        <w:t>Cotraitant n°1 :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Pour la part à commandes, je renonce au bénéfice de l'avance :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Non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Oui</w:t>
      </w:r>
    </w:p>
    <w:p w:rsidR="00F92E77" w:rsidRPr="007303C7" w:rsidRDefault="00F92E77" w:rsidP="00F92E77">
      <w:pPr>
        <w:pStyle w:val="Corpsdetexte"/>
        <w:rPr>
          <w:rFonts w:ascii="Arial Narrow" w:hAnsi="Arial Narrow"/>
          <w:u w:val="single"/>
        </w:rPr>
      </w:pPr>
      <w:r w:rsidRPr="007303C7">
        <w:rPr>
          <w:rFonts w:ascii="Arial Narrow" w:hAnsi="Arial Narrow"/>
          <w:u w:val="single"/>
        </w:rPr>
        <w:t>Cotraitant n°2 :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Pour la part à commandes, je renonce au bénéfice de l'avance :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Non</w:t>
      </w:r>
      <w:r w:rsidRPr="007303C7">
        <w:rPr>
          <w:rFonts w:ascii="Arial Narrow" w:hAnsi="Arial Narrow"/>
        </w:rPr>
        <w:tab/>
      </w: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ab/>
        <w:t>Oui</w:t>
      </w:r>
    </w:p>
    <w:p w:rsidR="00F92E77" w:rsidRPr="007303C7" w:rsidRDefault="00F92E77" w:rsidP="00F92E77">
      <w:pPr>
        <w:pStyle w:val="Corpsdetexte"/>
        <w:rPr>
          <w:rFonts w:ascii="Arial Narrow" w:hAnsi="Arial Narrow"/>
          <w:b/>
          <w:i/>
        </w:rPr>
      </w:pPr>
    </w:p>
    <w:p w:rsidR="00F92E77" w:rsidRPr="007303C7" w:rsidRDefault="00F92E77" w:rsidP="00374088">
      <w:pPr>
        <w:pStyle w:val="Corpsdetexte"/>
        <w:numPr>
          <w:ilvl w:val="1"/>
          <w:numId w:val="36"/>
        </w:numPr>
        <w:ind w:left="851" w:hanging="785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 xml:space="preserve">En cas de groupement solidaire </w:t>
      </w:r>
    </w:p>
    <w:p w:rsidR="00374088" w:rsidRPr="007303C7" w:rsidRDefault="00374088" w:rsidP="00374088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t>Le paiement des prestations du présent marché subséquent sera effectué sur le compte unique dont le RIB a été porté en annexe à l’acte d’engagement de l’accord-cadre.</w:t>
      </w:r>
    </w:p>
    <w:p w:rsidR="00374088" w:rsidRPr="007303C7" w:rsidRDefault="00374088" w:rsidP="00374088">
      <w:pPr>
        <w:pStyle w:val="Corpsdetexte"/>
        <w:rPr>
          <w:rFonts w:ascii="Arial Narrow" w:hAnsi="Arial Narrow"/>
        </w:rPr>
      </w:pPr>
    </w:p>
    <w:p w:rsidR="00F92E77" w:rsidRPr="004651E0" w:rsidRDefault="00374088" w:rsidP="00374088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 xml:space="preserve">PENALITES </w:t>
      </w:r>
      <w:r w:rsidR="004651E0" w:rsidRPr="004651E0">
        <w:rPr>
          <w:rFonts w:ascii="Arial Narrow" w:hAnsi="Arial Narrow" w:cs="Calibri Light"/>
          <w:highlight w:val="yellow"/>
        </w:rPr>
        <w:t>(si ajout de pénalités par rapport à l’AC</w:t>
      </w:r>
      <w:r w:rsidR="004651E0">
        <w:rPr>
          <w:rFonts w:ascii="Arial Narrow" w:hAnsi="Arial Narrow" w:cs="Calibri Light"/>
        </w:rPr>
        <w:t>)</w:t>
      </w:r>
    </w:p>
    <w:p w:rsidR="00374088" w:rsidRPr="007303C7" w:rsidRDefault="00374088" w:rsidP="00374088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L’EPMO se réserve la possibilité d’appliquer des pénalités au titulaire en cas de manquement dans l’exécution des prestations.</w:t>
      </w:r>
    </w:p>
    <w:p w:rsidR="00374088" w:rsidRPr="007303C7" w:rsidRDefault="00374088" w:rsidP="00374088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Par dérogation au 2</w:t>
      </w:r>
      <w:r w:rsidRPr="007303C7">
        <w:rPr>
          <w:rFonts w:ascii="Arial Narrow" w:hAnsi="Arial Narrow"/>
          <w:vertAlign w:val="superscript"/>
        </w:rPr>
        <w:t>ème</w:t>
      </w:r>
      <w:r w:rsidRPr="007303C7">
        <w:rPr>
          <w:rFonts w:ascii="Arial Narrow" w:hAnsi="Arial Narrow"/>
        </w:rPr>
        <w:t xml:space="preserve"> alinéa de l’article 14.1.1 du CCAG-FCS, l’EPMO n’invitera pas préalablement le titulaire à présenter ses observations.</w:t>
      </w:r>
    </w:p>
    <w:p w:rsidR="00374088" w:rsidRPr="007303C7" w:rsidRDefault="00374088" w:rsidP="00374088">
      <w:pPr>
        <w:pStyle w:val="En-tte"/>
        <w:spacing w:after="120" w:line="360" w:lineRule="auto"/>
        <w:rPr>
          <w:rFonts w:ascii="Arial Narrow" w:hAnsi="Arial Narrow"/>
        </w:rPr>
      </w:pPr>
      <w:r w:rsidRPr="007303C7">
        <w:rPr>
          <w:rFonts w:ascii="Arial Narrow" w:hAnsi="Arial Narrow"/>
        </w:rPr>
        <w:t>En outre, il n’est pas fait application de l’article 14.1.3 du CCAG-FCS.</w:t>
      </w:r>
    </w:p>
    <w:p w:rsidR="00374088" w:rsidRPr="007303C7" w:rsidRDefault="00374088" w:rsidP="00374088">
      <w:pPr>
        <w:pStyle w:val="En-tte"/>
        <w:spacing w:after="120" w:line="360" w:lineRule="auto"/>
        <w:rPr>
          <w:rFonts w:ascii="Arial Narrow" w:hAnsi="Arial Narrow"/>
        </w:rPr>
      </w:pPr>
      <w:r w:rsidRPr="007303C7">
        <w:rPr>
          <w:rFonts w:ascii="Arial Narrow" w:hAnsi="Arial Narrow"/>
        </w:rPr>
        <w:t>Les pénalités sont les suivantes :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3114"/>
        <w:gridCol w:w="3827"/>
        <w:gridCol w:w="2121"/>
      </w:tblGrid>
      <w:tr w:rsidR="00374088" w:rsidRPr="007303C7" w:rsidTr="00647706">
        <w:tc>
          <w:tcPr>
            <w:tcW w:w="3114" w:type="dxa"/>
            <w:shd w:val="clear" w:color="auto" w:fill="BDD6EE" w:themeFill="accent1" w:themeFillTint="66"/>
            <w:vAlign w:val="center"/>
          </w:tcPr>
          <w:p w:rsidR="00374088" w:rsidRPr="007303C7" w:rsidRDefault="00374088" w:rsidP="00647706">
            <w:pPr>
              <w:jc w:val="center"/>
              <w:rPr>
                <w:rFonts w:ascii="Arial Narrow" w:eastAsia="Calibri" w:hAnsi="Arial Narrow" w:cs="Arial"/>
                <w:b/>
                <w:sz w:val="20"/>
                <w:szCs w:val="24"/>
                <w:lang w:eastAsia="ar-SA"/>
              </w:rPr>
            </w:pPr>
            <w:r w:rsidRPr="007303C7">
              <w:rPr>
                <w:rFonts w:ascii="Arial Narrow" w:eastAsia="Calibri" w:hAnsi="Arial Narrow" w:cs="Arial"/>
                <w:b/>
                <w:sz w:val="20"/>
                <w:szCs w:val="24"/>
                <w:lang w:eastAsia="ar-SA"/>
              </w:rPr>
              <w:t>Pénalités</w:t>
            </w:r>
          </w:p>
        </w:tc>
        <w:tc>
          <w:tcPr>
            <w:tcW w:w="3827" w:type="dxa"/>
            <w:shd w:val="clear" w:color="auto" w:fill="BDD6EE" w:themeFill="accent1" w:themeFillTint="66"/>
            <w:vAlign w:val="center"/>
          </w:tcPr>
          <w:p w:rsidR="00374088" w:rsidRPr="007303C7" w:rsidRDefault="00374088" w:rsidP="00647706">
            <w:pPr>
              <w:spacing w:after="40"/>
              <w:jc w:val="center"/>
              <w:rPr>
                <w:rFonts w:ascii="Arial Narrow" w:eastAsia="Calibri" w:hAnsi="Arial Narrow" w:cs="Arial"/>
                <w:b/>
                <w:sz w:val="20"/>
                <w:lang w:eastAsia="ar-SA"/>
              </w:rPr>
            </w:pPr>
            <w:r w:rsidRPr="007303C7">
              <w:rPr>
                <w:rFonts w:ascii="Arial Narrow" w:eastAsia="Calibri" w:hAnsi="Arial Narrow" w:cs="Arial"/>
                <w:b/>
                <w:sz w:val="20"/>
                <w:lang w:eastAsia="ar-SA"/>
              </w:rPr>
              <w:t>Délai applicable</w:t>
            </w:r>
          </w:p>
        </w:tc>
        <w:tc>
          <w:tcPr>
            <w:tcW w:w="2121" w:type="dxa"/>
            <w:shd w:val="clear" w:color="auto" w:fill="BDD6EE" w:themeFill="accent1" w:themeFillTint="66"/>
            <w:vAlign w:val="center"/>
          </w:tcPr>
          <w:p w:rsidR="00374088" w:rsidRPr="007303C7" w:rsidRDefault="00374088" w:rsidP="00647706">
            <w:pPr>
              <w:spacing w:after="40"/>
              <w:jc w:val="center"/>
              <w:rPr>
                <w:rFonts w:ascii="Arial Narrow" w:eastAsia="Calibri" w:hAnsi="Arial Narrow" w:cs="Arial"/>
                <w:b/>
                <w:sz w:val="20"/>
                <w:lang w:eastAsia="ar-SA"/>
              </w:rPr>
            </w:pPr>
            <w:r w:rsidRPr="007303C7">
              <w:rPr>
                <w:rFonts w:ascii="Arial Narrow" w:eastAsia="Calibri" w:hAnsi="Arial Narrow" w:cs="Arial"/>
                <w:b/>
                <w:sz w:val="20"/>
                <w:lang w:eastAsia="ar-SA"/>
              </w:rPr>
              <w:t>Coûts</w:t>
            </w:r>
          </w:p>
        </w:tc>
      </w:tr>
      <w:tr w:rsidR="00374088" w:rsidRPr="007303C7" w:rsidTr="00647706">
        <w:tc>
          <w:tcPr>
            <w:tcW w:w="3114" w:type="dxa"/>
            <w:vAlign w:val="center"/>
          </w:tcPr>
          <w:p w:rsidR="00374088" w:rsidRPr="007303C7" w:rsidRDefault="00374088" w:rsidP="00647706">
            <w:pPr>
              <w:spacing w:after="40"/>
              <w:rPr>
                <w:rFonts w:ascii="Arial Narrow" w:eastAsia="Calibri" w:hAnsi="Arial Narrow" w:cs="Arial"/>
                <w:sz w:val="20"/>
                <w:lang w:eastAsia="ar-SA"/>
              </w:rPr>
            </w:pPr>
            <w:r w:rsidRPr="007303C7">
              <w:rPr>
                <w:rFonts w:ascii="Arial Narrow" w:eastAsia="Calibri" w:hAnsi="Arial Narrow" w:cs="Arial"/>
                <w:sz w:val="20"/>
                <w:lang w:eastAsia="ar-SA"/>
              </w:rPr>
              <w:t>….</w:t>
            </w:r>
          </w:p>
        </w:tc>
        <w:tc>
          <w:tcPr>
            <w:tcW w:w="3827" w:type="dxa"/>
            <w:vAlign w:val="center"/>
          </w:tcPr>
          <w:p w:rsidR="00374088" w:rsidRPr="007303C7" w:rsidRDefault="00374088" w:rsidP="00647706">
            <w:pPr>
              <w:pStyle w:val="Notedebasdepage1"/>
              <w:spacing w:after="40"/>
              <w:rPr>
                <w:rFonts w:ascii="Arial Narrow" w:eastAsia="Calibri" w:hAnsi="Arial Narrow" w:cs="Arial"/>
                <w:szCs w:val="22"/>
                <w:lang w:eastAsia="ar-SA"/>
              </w:rPr>
            </w:pPr>
            <w:r w:rsidRPr="007303C7">
              <w:rPr>
                <w:rFonts w:ascii="Arial Narrow" w:eastAsia="Calibri" w:hAnsi="Arial Narrow" w:cs="Arial"/>
                <w:szCs w:val="22"/>
                <w:lang w:eastAsia="ar-SA"/>
              </w:rPr>
              <w:t>… jours ouvrés à compter de …</w:t>
            </w:r>
          </w:p>
        </w:tc>
        <w:tc>
          <w:tcPr>
            <w:tcW w:w="2121" w:type="dxa"/>
            <w:vAlign w:val="center"/>
          </w:tcPr>
          <w:p w:rsidR="00374088" w:rsidRPr="007303C7" w:rsidRDefault="00374088" w:rsidP="00647706">
            <w:pPr>
              <w:spacing w:after="40"/>
              <w:rPr>
                <w:rFonts w:ascii="Arial Narrow" w:eastAsia="Calibri" w:hAnsi="Arial Narrow" w:cs="Arial"/>
                <w:sz w:val="20"/>
                <w:lang w:eastAsia="ar-SA"/>
              </w:rPr>
            </w:pPr>
            <w:r w:rsidRPr="007303C7">
              <w:rPr>
                <w:rFonts w:ascii="Arial Narrow" w:eastAsia="Calibri" w:hAnsi="Arial Narrow" w:cs="Arial"/>
                <w:sz w:val="20"/>
                <w:lang w:eastAsia="ar-SA"/>
              </w:rPr>
              <w:t>… € HT (forfait)</w:t>
            </w:r>
          </w:p>
        </w:tc>
      </w:tr>
      <w:tr w:rsidR="00374088" w:rsidRPr="007303C7" w:rsidTr="00647706">
        <w:tc>
          <w:tcPr>
            <w:tcW w:w="3114" w:type="dxa"/>
            <w:vAlign w:val="center"/>
          </w:tcPr>
          <w:p w:rsidR="00374088" w:rsidRPr="007303C7" w:rsidRDefault="00374088" w:rsidP="00647706">
            <w:pPr>
              <w:spacing w:after="40"/>
              <w:rPr>
                <w:rFonts w:ascii="Arial Narrow" w:eastAsia="Calibri" w:hAnsi="Arial Narrow" w:cs="Arial"/>
                <w:sz w:val="20"/>
                <w:lang w:eastAsia="ar-SA"/>
              </w:rPr>
            </w:pPr>
            <w:r w:rsidRPr="007303C7">
              <w:rPr>
                <w:rFonts w:ascii="Arial Narrow" w:eastAsia="Calibri" w:hAnsi="Arial Narrow" w:cs="Arial"/>
                <w:sz w:val="20"/>
                <w:lang w:eastAsia="ar-SA"/>
              </w:rPr>
              <w:t>….</w:t>
            </w:r>
          </w:p>
        </w:tc>
        <w:tc>
          <w:tcPr>
            <w:tcW w:w="3827" w:type="dxa"/>
            <w:vAlign w:val="center"/>
          </w:tcPr>
          <w:p w:rsidR="00374088" w:rsidRPr="007303C7" w:rsidRDefault="00374088" w:rsidP="00647706">
            <w:pPr>
              <w:pStyle w:val="Notedebasdepage1"/>
              <w:spacing w:after="40"/>
              <w:rPr>
                <w:rFonts w:ascii="Arial Narrow" w:eastAsia="Calibri" w:hAnsi="Arial Narrow" w:cs="Arial"/>
                <w:szCs w:val="22"/>
                <w:lang w:eastAsia="ar-SA"/>
              </w:rPr>
            </w:pPr>
            <w:r w:rsidRPr="007303C7">
              <w:rPr>
                <w:rFonts w:ascii="Arial Narrow" w:eastAsia="Calibri" w:hAnsi="Arial Narrow" w:cs="Arial"/>
                <w:szCs w:val="22"/>
                <w:lang w:eastAsia="ar-SA"/>
              </w:rPr>
              <w:t>… jours ouvrés à compter de …</w:t>
            </w:r>
          </w:p>
        </w:tc>
        <w:tc>
          <w:tcPr>
            <w:tcW w:w="2121" w:type="dxa"/>
            <w:vAlign w:val="center"/>
          </w:tcPr>
          <w:p w:rsidR="00374088" w:rsidRPr="007303C7" w:rsidRDefault="00374088" w:rsidP="00647706">
            <w:pPr>
              <w:spacing w:after="40"/>
              <w:rPr>
                <w:rFonts w:ascii="Arial Narrow" w:eastAsia="Calibri" w:hAnsi="Arial Narrow" w:cs="Arial"/>
                <w:sz w:val="20"/>
                <w:lang w:eastAsia="ar-SA"/>
              </w:rPr>
            </w:pPr>
            <w:r w:rsidRPr="007303C7">
              <w:rPr>
                <w:rFonts w:ascii="Arial Narrow" w:eastAsia="Calibri" w:hAnsi="Arial Narrow" w:cs="Arial"/>
                <w:sz w:val="20"/>
                <w:lang w:eastAsia="ar-SA"/>
              </w:rPr>
              <w:t>… € HT par jour de retard</w:t>
            </w:r>
          </w:p>
        </w:tc>
      </w:tr>
    </w:tbl>
    <w:p w:rsidR="00374088" w:rsidRPr="007303C7" w:rsidRDefault="00374088" w:rsidP="00374088">
      <w:pPr>
        <w:spacing w:after="0"/>
        <w:jc w:val="both"/>
        <w:rPr>
          <w:rFonts w:ascii="Arial Narrow" w:eastAsia="Calibri" w:hAnsi="Arial Narrow" w:cs="Arial"/>
          <w:sz w:val="20"/>
          <w:szCs w:val="20"/>
        </w:rPr>
      </w:pPr>
    </w:p>
    <w:p w:rsidR="00374088" w:rsidRPr="007303C7" w:rsidRDefault="00374088" w:rsidP="00374088">
      <w:pPr>
        <w:pStyle w:val="En-tte"/>
        <w:spacing w:after="120" w:line="360" w:lineRule="auto"/>
        <w:jc w:val="both"/>
        <w:rPr>
          <w:rFonts w:ascii="Arial Narrow" w:hAnsi="Arial Narrow"/>
        </w:rPr>
      </w:pPr>
      <w:r w:rsidRPr="007303C7">
        <w:rPr>
          <w:rFonts w:ascii="Arial Narrow" w:hAnsi="Arial Narrow"/>
        </w:rPr>
        <w:t>Les pénalités pour retard commencent à courir le lendemain du jour où le délai contractuel d’exécution des prestations est expiré.</w:t>
      </w:r>
    </w:p>
    <w:p w:rsidR="00374088" w:rsidRPr="007303C7" w:rsidRDefault="00374088" w:rsidP="00F92E77">
      <w:pPr>
        <w:pStyle w:val="Corpsdetexte"/>
        <w:rPr>
          <w:rFonts w:ascii="Arial Narrow" w:hAnsi="Arial Narrow"/>
          <w:i/>
        </w:rPr>
      </w:pPr>
    </w:p>
    <w:p w:rsidR="00F92E77" w:rsidRPr="007303C7" w:rsidRDefault="00F92E77" w:rsidP="00374088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SOUS TRAITANCE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  <w:b/>
          <w:bCs/>
        </w:rPr>
        <w:instrText xml:space="preserve"> FORMCHECKBOX </w:instrText>
      </w:r>
      <w:r w:rsidR="00F2124D">
        <w:rPr>
          <w:rFonts w:ascii="Arial Narrow" w:hAnsi="Arial Narrow"/>
          <w:b/>
          <w:bCs/>
        </w:rPr>
      </w:r>
      <w:r w:rsidR="00F2124D">
        <w:rPr>
          <w:rFonts w:ascii="Arial Narrow" w:hAnsi="Arial Narrow"/>
          <w:b/>
          <w:bCs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  <w:b/>
          <w:bCs/>
        </w:rPr>
        <w:tab/>
        <w:t xml:space="preserve"> </w:t>
      </w:r>
      <w:r w:rsidRPr="007303C7">
        <w:rPr>
          <w:rFonts w:ascii="Arial Narrow" w:hAnsi="Arial Narrow"/>
        </w:rPr>
        <w:t>Je n'envisage pas / nous n'envisageons pas au stade de la remise des offres, de sous-traiter une partie des prestations.</w:t>
      </w:r>
    </w:p>
    <w:p w:rsidR="00F92E77" w:rsidRPr="007303C7" w:rsidRDefault="00F92E77" w:rsidP="00F92E77">
      <w:pPr>
        <w:pStyle w:val="Corpsdetexte"/>
        <w:rPr>
          <w:rFonts w:ascii="Arial Narrow" w:hAnsi="Arial Narrow"/>
        </w:rPr>
      </w:pPr>
      <w:r w:rsidRPr="007303C7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303C7">
        <w:rPr>
          <w:rFonts w:ascii="Arial Narrow" w:hAnsi="Arial Narrow"/>
        </w:rPr>
        <w:instrText xml:space="preserve"> FORMCHECKBOX </w:instrText>
      </w:r>
      <w:r w:rsidR="00F2124D">
        <w:rPr>
          <w:rFonts w:ascii="Arial Narrow" w:hAnsi="Arial Narrow"/>
        </w:rPr>
      </w:r>
      <w:r w:rsidR="00F2124D">
        <w:rPr>
          <w:rFonts w:ascii="Arial Narrow" w:hAnsi="Arial Narrow"/>
        </w:rPr>
        <w:fldChar w:fldCharType="separate"/>
      </w:r>
      <w:r w:rsidRPr="007303C7">
        <w:rPr>
          <w:rFonts w:ascii="Arial Narrow" w:hAnsi="Arial Narrow"/>
        </w:rPr>
        <w:fldChar w:fldCharType="end"/>
      </w:r>
      <w:r w:rsidRPr="007303C7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7303C7">
        <w:rPr>
          <w:rFonts w:ascii="Arial Narrow" w:hAnsi="Arial Narrow"/>
          <w:b/>
        </w:rPr>
        <w:t>déclaration(s) de sous-traitance (formulaire DC4</w:t>
      </w:r>
      <w:r w:rsidRPr="007303C7">
        <w:rPr>
          <w:rFonts w:ascii="Arial Narrow" w:hAnsi="Arial Narrow"/>
        </w:rPr>
        <w:t>).</w:t>
      </w:r>
    </w:p>
    <w:p w:rsidR="00F92E77" w:rsidRPr="007303C7" w:rsidRDefault="00F92E77" w:rsidP="00F92E77">
      <w:pPr>
        <w:pStyle w:val="Corpsdetexte"/>
        <w:rPr>
          <w:rFonts w:ascii="Arial Narrow" w:hAnsi="Arial Narrow"/>
          <w:i/>
        </w:rPr>
      </w:pPr>
    </w:p>
    <w:p w:rsidR="00E2373D" w:rsidRPr="007303C7" w:rsidRDefault="00E2373D" w:rsidP="00374088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7303C7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7303C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E2373D" w:rsidRPr="007303C7" w:rsidRDefault="00E2373D" w:rsidP="00E2373D">
            <w:pPr>
              <w:pStyle w:val="Titre1"/>
              <w:rPr>
                <w:rFonts w:ascii="Arial Narrow" w:hAnsi="Arial Narrow"/>
              </w:rPr>
            </w:pPr>
            <w:r w:rsidRPr="007303C7">
              <w:rPr>
                <w:rFonts w:ascii="Arial Narrow" w:hAnsi="Arial Narrow"/>
              </w:rPr>
              <w:lastRenderedPageBreak/>
              <w:t>Signature du titulaire</w:t>
            </w:r>
          </w:p>
        </w:tc>
      </w:tr>
      <w:tr w:rsidR="00E2373D" w:rsidRPr="007303C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7303C7">
              <w:rPr>
                <w:rFonts w:ascii="Arial Narrow" w:eastAsia="Times New Roman" w:hAnsi="Arial Narrow" w:cs="Calibri Light"/>
                <w:lang w:eastAsia="fr-FR"/>
              </w:rPr>
              <w:t xml:space="preserve">Après avoir pris connaissance des pièces constitutives du marché </w:t>
            </w:r>
            <w:r w:rsidR="00374088" w:rsidRPr="007303C7">
              <w:rPr>
                <w:rFonts w:ascii="Arial Narrow" w:eastAsia="Times New Roman" w:hAnsi="Arial Narrow" w:cs="Calibri Light"/>
                <w:lang w:eastAsia="fr-FR"/>
              </w:rPr>
              <w:t xml:space="preserve">subséquent </w:t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t>et conformément à leurs clauses,</w:t>
            </w:r>
          </w:p>
          <w:p w:rsidR="00E2373D" w:rsidRPr="007303C7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7303C7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2124D">
              <w:rPr>
                <w:rFonts w:ascii="Arial Narrow" w:eastAsia="Times New Roman" w:hAnsi="Arial Narrow" w:cs="Calibri Light"/>
                <w:lang w:eastAsia="fr-FR"/>
              </w:rPr>
            </w:r>
            <w:r w:rsidR="00F2124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:rsidR="00E2373D" w:rsidRPr="007303C7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7303C7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2124D">
              <w:rPr>
                <w:rFonts w:ascii="Arial Narrow" w:eastAsia="Times New Roman" w:hAnsi="Arial Narrow" w:cs="Calibri Light"/>
                <w:lang w:eastAsia="fr-FR"/>
              </w:rPr>
            </w:r>
            <w:r w:rsidR="00F2124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:rsidR="00E2373D" w:rsidRPr="007303C7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7303C7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2124D">
              <w:rPr>
                <w:rFonts w:ascii="Arial Narrow" w:eastAsia="Times New Roman" w:hAnsi="Arial Narrow" w:cs="Calibri Light"/>
                <w:lang w:eastAsia="fr-FR"/>
              </w:rPr>
            </w:r>
            <w:r w:rsidR="00F2124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:rsidR="00E2373D" w:rsidRPr="007303C7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7303C7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F2124D">
              <w:rPr>
                <w:rFonts w:ascii="Arial Narrow" w:eastAsia="Times New Roman" w:hAnsi="Arial Narrow" w:cs="Calibri Light"/>
                <w:lang w:eastAsia="fr-FR"/>
              </w:rPr>
            </w:r>
            <w:r w:rsidR="00F2124D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7303C7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:rsidR="00E2373D" w:rsidRPr="007303C7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7303C7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7303C7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:rsidR="00E2373D" w:rsidRPr="007303C7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E2373D" w:rsidRPr="007303C7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7303C7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E2373D" w:rsidRPr="007303C7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:rsidR="00E2373D" w:rsidRPr="007303C7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7303C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:rsidR="00E2373D" w:rsidRPr="007303C7" w:rsidRDefault="00E2373D" w:rsidP="00E2373D">
            <w:pPr>
              <w:pStyle w:val="Titre1"/>
              <w:rPr>
                <w:rFonts w:ascii="Arial Narrow" w:hAnsi="Arial Narrow"/>
              </w:rPr>
            </w:pPr>
            <w:r w:rsidRPr="007303C7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7303C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7303C7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:rsidR="00E2373D" w:rsidRPr="007303C7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:rsidR="00E2373D" w:rsidRPr="007303C7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:rsidR="00E2373D" w:rsidRPr="007303C7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:rsidR="00E2373D" w:rsidRPr="007303C7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:rsidR="00F92E77" w:rsidRPr="007303C7" w:rsidRDefault="00F92E77" w:rsidP="00F92E77">
      <w:pPr>
        <w:pStyle w:val="Corpsdetexte"/>
        <w:rPr>
          <w:rFonts w:ascii="Arial Narrow" w:hAnsi="Arial Narrow"/>
          <w:i/>
        </w:rPr>
      </w:pPr>
    </w:p>
    <w:p w:rsidR="00CE4A76" w:rsidRPr="007303C7" w:rsidRDefault="00CE4A76" w:rsidP="00F92E77">
      <w:pPr>
        <w:pStyle w:val="Corpsdetexte"/>
        <w:rPr>
          <w:rFonts w:ascii="Arial Narrow" w:hAnsi="Arial Narrow"/>
        </w:rPr>
      </w:pPr>
    </w:p>
    <w:sectPr w:rsidR="00CE4A76" w:rsidRPr="007303C7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125" w:rsidRDefault="004D3125" w:rsidP="00E42FF3">
      <w:pPr>
        <w:spacing w:after="0" w:line="240" w:lineRule="auto"/>
      </w:pPr>
      <w:r>
        <w:separator/>
      </w:r>
    </w:p>
  </w:endnote>
  <w:endnote w:type="continuationSeparator" w:id="0">
    <w:p w:rsidR="004D3125" w:rsidRDefault="004D3125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24D">
          <w:rPr>
            <w:noProof/>
          </w:rPr>
          <w:t>4</w:t>
        </w:r>
        <w:r>
          <w:fldChar w:fldCharType="end"/>
        </w:r>
      </w:p>
    </w:sdtContent>
  </w:sdt>
  <w:p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125" w:rsidRDefault="004D3125" w:rsidP="00E42FF3">
      <w:pPr>
        <w:spacing w:after="0" w:line="240" w:lineRule="auto"/>
      </w:pPr>
      <w:r>
        <w:separator/>
      </w:r>
    </w:p>
  </w:footnote>
  <w:footnote w:type="continuationSeparator" w:id="0">
    <w:p w:rsidR="004D3125" w:rsidRDefault="004D3125" w:rsidP="00E42FF3">
      <w:pPr>
        <w:spacing w:after="0" w:line="240" w:lineRule="auto"/>
      </w:pPr>
      <w:r>
        <w:continuationSeparator/>
      </w:r>
    </w:p>
  </w:footnote>
  <w:footnote w:id="1">
    <w:p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  <w:footnote w:id="2">
    <w:p w:rsidR="00A406B2" w:rsidRDefault="00A406B2" w:rsidP="00A406B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  <w:footnote w:id="3">
    <w:p w:rsidR="00A406B2" w:rsidRDefault="00A406B2" w:rsidP="00A406B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:rsidTr="00E42FF3">
      <w:tc>
        <w:tcPr>
          <w:tcW w:w="2725" w:type="dxa"/>
        </w:tcPr>
        <w:p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5D9AE036" wp14:editId="19986F21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E80817"/>
    <w:multiLevelType w:val="hybridMultilevel"/>
    <w:tmpl w:val="37F4F2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9D5F8E"/>
    <w:multiLevelType w:val="multilevel"/>
    <w:tmpl w:val="991658D4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8.%3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C06AC"/>
    <w:multiLevelType w:val="hybridMultilevel"/>
    <w:tmpl w:val="6A326148"/>
    <w:lvl w:ilvl="0" w:tplc="4DC87F5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865A7"/>
    <w:multiLevelType w:val="multilevel"/>
    <w:tmpl w:val="180492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1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 w15:restartNumberingAfterBreak="0">
    <w:nsid w:val="41F2337A"/>
    <w:multiLevelType w:val="hybridMultilevel"/>
    <w:tmpl w:val="243688E6"/>
    <w:lvl w:ilvl="0" w:tplc="173A495A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95108D"/>
    <w:multiLevelType w:val="multilevel"/>
    <w:tmpl w:val="D9D0AB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8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557B1722"/>
    <w:multiLevelType w:val="hybridMultilevel"/>
    <w:tmpl w:val="612EB0F2"/>
    <w:lvl w:ilvl="0" w:tplc="4DC87F5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4DC87F5C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451083"/>
    <w:multiLevelType w:val="hybridMultilevel"/>
    <w:tmpl w:val="6516744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C85B6A"/>
    <w:multiLevelType w:val="multilevel"/>
    <w:tmpl w:val="946A2F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1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3"/>
  </w:num>
  <w:num w:numId="3">
    <w:abstractNumId w:val="35"/>
  </w:num>
  <w:num w:numId="4">
    <w:abstractNumId w:val="24"/>
  </w:num>
  <w:num w:numId="5">
    <w:abstractNumId w:val="0"/>
  </w:num>
  <w:num w:numId="6">
    <w:abstractNumId w:val="43"/>
  </w:num>
  <w:num w:numId="7">
    <w:abstractNumId w:val="32"/>
  </w:num>
  <w:num w:numId="8">
    <w:abstractNumId w:val="2"/>
  </w:num>
  <w:num w:numId="9">
    <w:abstractNumId w:val="38"/>
  </w:num>
  <w:num w:numId="10">
    <w:abstractNumId w:val="34"/>
  </w:num>
  <w:num w:numId="11">
    <w:abstractNumId w:val="25"/>
  </w:num>
  <w:num w:numId="12">
    <w:abstractNumId w:val="42"/>
  </w:num>
  <w:num w:numId="13">
    <w:abstractNumId w:val="33"/>
  </w:num>
  <w:num w:numId="14">
    <w:abstractNumId w:val="44"/>
  </w:num>
  <w:num w:numId="15">
    <w:abstractNumId w:val="30"/>
  </w:num>
  <w:num w:numId="16">
    <w:abstractNumId w:val="6"/>
  </w:num>
  <w:num w:numId="17">
    <w:abstractNumId w:val="12"/>
  </w:num>
  <w:num w:numId="18">
    <w:abstractNumId w:val="26"/>
  </w:num>
  <w:num w:numId="19">
    <w:abstractNumId w:val="15"/>
  </w:num>
  <w:num w:numId="20">
    <w:abstractNumId w:val="4"/>
  </w:num>
  <w:num w:numId="21">
    <w:abstractNumId w:val="14"/>
  </w:num>
  <w:num w:numId="22">
    <w:abstractNumId w:val="9"/>
  </w:num>
  <w:num w:numId="23">
    <w:abstractNumId w:val="36"/>
  </w:num>
  <w:num w:numId="24">
    <w:abstractNumId w:val="8"/>
  </w:num>
  <w:num w:numId="25">
    <w:abstractNumId w:val="23"/>
  </w:num>
  <w:num w:numId="26">
    <w:abstractNumId w:val="39"/>
  </w:num>
  <w:num w:numId="27">
    <w:abstractNumId w:val="3"/>
  </w:num>
  <w:num w:numId="28">
    <w:abstractNumId w:val="40"/>
  </w:num>
  <w:num w:numId="29">
    <w:abstractNumId w:val="1"/>
  </w:num>
  <w:num w:numId="30">
    <w:abstractNumId w:val="20"/>
  </w:num>
  <w:num w:numId="31">
    <w:abstractNumId w:val="17"/>
  </w:num>
  <w:num w:numId="32">
    <w:abstractNumId w:val="10"/>
  </w:num>
  <w:num w:numId="33">
    <w:abstractNumId w:val="21"/>
  </w:num>
  <w:num w:numId="34">
    <w:abstractNumId w:val="18"/>
  </w:num>
  <w:num w:numId="35">
    <w:abstractNumId w:val="28"/>
  </w:num>
  <w:num w:numId="36">
    <w:abstractNumId w:val="27"/>
  </w:num>
  <w:num w:numId="37">
    <w:abstractNumId w:val="5"/>
  </w:num>
  <w:num w:numId="38">
    <w:abstractNumId w:val="11"/>
  </w:num>
  <w:num w:numId="39">
    <w:abstractNumId w:val="31"/>
  </w:num>
  <w:num w:numId="40">
    <w:abstractNumId w:val="16"/>
  </w:num>
  <w:num w:numId="41">
    <w:abstractNumId w:val="19"/>
  </w:num>
  <w:num w:numId="42">
    <w:abstractNumId w:val="29"/>
  </w:num>
  <w:num w:numId="43">
    <w:abstractNumId w:val="7"/>
  </w:num>
  <w:num w:numId="44">
    <w:abstractNumId w:val="22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151A"/>
    <w:rsid w:val="000B34BB"/>
    <w:rsid w:val="000B3B70"/>
    <w:rsid w:val="000B7422"/>
    <w:rsid w:val="000D317C"/>
    <w:rsid w:val="000E7740"/>
    <w:rsid w:val="000F3D0C"/>
    <w:rsid w:val="00163AD2"/>
    <w:rsid w:val="00180990"/>
    <w:rsid w:val="001C657E"/>
    <w:rsid w:val="001F6E69"/>
    <w:rsid w:val="0024335F"/>
    <w:rsid w:val="0025246C"/>
    <w:rsid w:val="00257918"/>
    <w:rsid w:val="00262AEB"/>
    <w:rsid w:val="00264E15"/>
    <w:rsid w:val="00277716"/>
    <w:rsid w:val="002C5191"/>
    <w:rsid w:val="00334A76"/>
    <w:rsid w:val="00374088"/>
    <w:rsid w:val="003765CC"/>
    <w:rsid w:val="003A3C44"/>
    <w:rsid w:val="003C0E95"/>
    <w:rsid w:val="003F3420"/>
    <w:rsid w:val="00424506"/>
    <w:rsid w:val="004261EE"/>
    <w:rsid w:val="004302A7"/>
    <w:rsid w:val="004651E0"/>
    <w:rsid w:val="004C777F"/>
    <w:rsid w:val="004D3125"/>
    <w:rsid w:val="004F429E"/>
    <w:rsid w:val="00511049"/>
    <w:rsid w:val="005140A3"/>
    <w:rsid w:val="00544CF8"/>
    <w:rsid w:val="005706E9"/>
    <w:rsid w:val="00593CA0"/>
    <w:rsid w:val="005E636A"/>
    <w:rsid w:val="005F1D51"/>
    <w:rsid w:val="00666DD5"/>
    <w:rsid w:val="006F0B57"/>
    <w:rsid w:val="007221BF"/>
    <w:rsid w:val="007258AA"/>
    <w:rsid w:val="007303C7"/>
    <w:rsid w:val="007663CD"/>
    <w:rsid w:val="007D0A2F"/>
    <w:rsid w:val="00836C55"/>
    <w:rsid w:val="0088306B"/>
    <w:rsid w:val="0088600A"/>
    <w:rsid w:val="00886A9B"/>
    <w:rsid w:val="00891B1A"/>
    <w:rsid w:val="008B6960"/>
    <w:rsid w:val="008E32FC"/>
    <w:rsid w:val="00910D6B"/>
    <w:rsid w:val="00983998"/>
    <w:rsid w:val="00990731"/>
    <w:rsid w:val="009B17F7"/>
    <w:rsid w:val="00A02B17"/>
    <w:rsid w:val="00A118F1"/>
    <w:rsid w:val="00A15E81"/>
    <w:rsid w:val="00A406B2"/>
    <w:rsid w:val="00A441EA"/>
    <w:rsid w:val="00A572A6"/>
    <w:rsid w:val="00A7568E"/>
    <w:rsid w:val="00AA3E07"/>
    <w:rsid w:val="00B17100"/>
    <w:rsid w:val="00B260CD"/>
    <w:rsid w:val="00B92F1A"/>
    <w:rsid w:val="00BD6430"/>
    <w:rsid w:val="00BE0A37"/>
    <w:rsid w:val="00C37C04"/>
    <w:rsid w:val="00C74EFE"/>
    <w:rsid w:val="00CE0E19"/>
    <w:rsid w:val="00CE4A76"/>
    <w:rsid w:val="00D17E86"/>
    <w:rsid w:val="00D26817"/>
    <w:rsid w:val="00D32F62"/>
    <w:rsid w:val="00D349F1"/>
    <w:rsid w:val="00D524F5"/>
    <w:rsid w:val="00D637C9"/>
    <w:rsid w:val="00DB4DE8"/>
    <w:rsid w:val="00E2373D"/>
    <w:rsid w:val="00E42FF3"/>
    <w:rsid w:val="00EC6141"/>
    <w:rsid w:val="00F03BF9"/>
    <w:rsid w:val="00F065F4"/>
    <w:rsid w:val="00F2124D"/>
    <w:rsid w:val="00F74527"/>
    <w:rsid w:val="00F92E77"/>
    <w:rsid w:val="00FF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75D981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E0E19"/>
    <w:pPr>
      <w:keepNext/>
      <w:tabs>
        <w:tab w:val="left" w:pos="360"/>
        <w:tab w:val="right" w:leader="dot" w:pos="9354"/>
      </w:tabs>
      <w:spacing w:before="60"/>
      <w:jc w:val="both"/>
      <w:outlineLvl w:val="1"/>
    </w:pPr>
    <w:rPr>
      <w:rFonts w:ascii="Georgia" w:hAnsi="Georgia" w:cs="Calibri Light"/>
      <w:i/>
      <w:color w:val="ED7D31" w:themeColor="accen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customStyle="1" w:styleId="Titre2Car">
    <w:name w:val="Titre 2 Car"/>
    <w:basedOn w:val="Policepardfaut"/>
    <w:link w:val="Titre2"/>
    <w:uiPriority w:val="9"/>
    <w:rsid w:val="00CE0E19"/>
    <w:rPr>
      <w:rFonts w:ascii="Georgia" w:hAnsi="Georgia" w:cs="Calibri Light"/>
      <w:i/>
      <w:color w:val="ED7D31" w:themeColor="accent2"/>
    </w:rPr>
  </w:style>
  <w:style w:type="table" w:customStyle="1" w:styleId="Grilledutableau1">
    <w:name w:val="Grille du tableau1"/>
    <w:basedOn w:val="TableauNormal"/>
    <w:next w:val="Grilledutableau"/>
    <w:rsid w:val="00374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5A3E7F" w:rsidP="005A3E7F">
          <w:pPr>
            <w:pStyle w:val="B9F3AE98F5FB4C8B95EE955AACB3EEA2"/>
          </w:pPr>
          <w:r w:rsidRPr="004413C0">
            <w:rPr>
              <w:rStyle w:val="Textedelespacerserv"/>
            </w:rPr>
            <w:t>Choisissez un élément.</w:t>
          </w:r>
        </w:p>
      </w:docPartBody>
    </w:docPart>
    <w:docPart>
      <w:docPartPr>
        <w:name w:val="DBA709B797704C3F92D24CF6AEA5B7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C8310EE-6658-4CD7-A7FC-A7203A59A21C}"/>
      </w:docPartPr>
      <w:docPartBody>
        <w:p w:rsidR="005A3E7F" w:rsidRDefault="005A3E7F" w:rsidP="005A3E7F">
          <w:pPr>
            <w:pStyle w:val="DBA709B797704C3F92D24CF6AEA5B724"/>
          </w:pPr>
          <w:r w:rsidRPr="003307FA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5A3E7F"/>
    <w:rsid w:val="00940A3F"/>
    <w:rsid w:val="009F2D30"/>
    <w:rsid w:val="00EC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A3E7F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70AB8-C051-4815-BF25-89ECE763D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1806</Words>
  <Characters>9939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12</cp:revision>
  <dcterms:created xsi:type="dcterms:W3CDTF">2022-08-23T14:07:00Z</dcterms:created>
  <dcterms:modified xsi:type="dcterms:W3CDTF">2025-10-03T13:47:00Z</dcterms:modified>
</cp:coreProperties>
</file>